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E8" w:rsidRPr="00320C51" w:rsidRDefault="00320C51" w:rsidP="00055249">
      <w:pPr>
        <w:spacing w:line="240" w:lineRule="auto"/>
        <w:contextualSpacing/>
        <w:jc w:val="center"/>
        <w:rPr>
          <w:b/>
          <w:sz w:val="30"/>
          <w:szCs w:val="30"/>
          <w:lang w:val="fr-FR"/>
        </w:rPr>
      </w:pPr>
      <w:r w:rsidRPr="00320C51">
        <w:rPr>
          <w:b/>
          <w:noProof/>
          <w:sz w:val="30"/>
          <w:szCs w:val="30"/>
        </w:rPr>
        <w:drawing>
          <wp:anchor distT="0" distB="0" distL="114300" distR="114300" simplePos="0" relativeHeight="251660288" behindDoc="0" locked="0" layoutInCell="1" allowOverlap="1" wp14:anchorId="5C99D827" wp14:editId="15063B9E">
            <wp:simplePos x="0" y="0"/>
            <wp:positionH relativeFrom="column">
              <wp:posOffset>3103880</wp:posOffset>
            </wp:positionH>
            <wp:positionV relativeFrom="paragraph">
              <wp:posOffset>-670560</wp:posOffset>
            </wp:positionV>
            <wp:extent cx="2091055" cy="696595"/>
            <wp:effectExtent l="0" t="0" r="4445" b="8255"/>
            <wp:wrapTopAndBottom/>
            <wp:docPr id="2" name="Picture 2" descr="C:\Users\WB437130\Documents\Inje\Logo SSATP\SSATP-Logo_onWh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437130\Documents\Inje\Logo SSATP\SSATP-Logo_onWhite_f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77B" w:rsidRPr="007C077B">
        <w:rPr>
          <w:b/>
          <w:sz w:val="30"/>
          <w:szCs w:val="30"/>
          <w:lang w:val="fr-FR"/>
        </w:rPr>
        <w:t xml:space="preserve"> </w:t>
      </w:r>
      <w:r w:rsidR="007C077B" w:rsidRPr="00320C51">
        <w:rPr>
          <w:b/>
          <w:sz w:val="30"/>
          <w:szCs w:val="30"/>
          <w:lang w:val="fr-FR"/>
        </w:rPr>
        <w:t>Forum sur les Pol</w:t>
      </w:r>
      <w:r w:rsidR="007C077B">
        <w:rPr>
          <w:b/>
          <w:sz w:val="30"/>
          <w:szCs w:val="30"/>
          <w:lang w:val="fr-FR"/>
        </w:rPr>
        <w:t>itiques de Transport en Afrique</w:t>
      </w:r>
    </w:p>
    <w:p w:rsidR="003317F8" w:rsidRPr="00320C51" w:rsidRDefault="00822464" w:rsidP="00055249">
      <w:pPr>
        <w:spacing w:line="240" w:lineRule="auto"/>
        <w:contextualSpacing/>
        <w:jc w:val="center"/>
        <w:rPr>
          <w:b/>
          <w:sz w:val="30"/>
          <w:szCs w:val="30"/>
          <w:lang w:val="fr-FR"/>
        </w:rPr>
      </w:pPr>
      <w:bookmarkStart w:id="0" w:name="_GoBack"/>
      <w:bookmarkEnd w:id="0"/>
      <w:r>
        <w:rPr>
          <w:b/>
          <w:sz w:val="30"/>
          <w:szCs w:val="30"/>
          <w:lang w:val="fr-FR"/>
        </w:rPr>
        <w:t xml:space="preserve"> 10 et 11 décembre, 2013</w:t>
      </w:r>
    </w:p>
    <w:p w:rsidR="003317F8" w:rsidRPr="007350D1" w:rsidRDefault="007350D1" w:rsidP="00320C51">
      <w:pPr>
        <w:spacing w:after="160" w:line="240" w:lineRule="auto"/>
        <w:jc w:val="center"/>
        <w:rPr>
          <w:i/>
          <w:sz w:val="24"/>
          <w:szCs w:val="24"/>
          <w:lang w:val="fr-FR"/>
        </w:rPr>
      </w:pPr>
      <w:r w:rsidRPr="007350D1">
        <w:rPr>
          <w:i/>
          <w:sz w:val="24"/>
          <w:szCs w:val="24"/>
          <w:lang w:val="fr-FR"/>
        </w:rPr>
        <w:t xml:space="preserve">Ébauche de structure et thèmes </w:t>
      </w:r>
      <w:r>
        <w:rPr>
          <w:i/>
          <w:sz w:val="24"/>
          <w:szCs w:val="24"/>
          <w:lang w:val="fr-FR"/>
        </w:rPr>
        <w:t>à aborder</w:t>
      </w:r>
    </w:p>
    <w:p w:rsidR="008C5AC5" w:rsidRPr="006A22A4" w:rsidRDefault="008C5AC5" w:rsidP="00320C51">
      <w:pPr>
        <w:autoSpaceDE w:val="0"/>
        <w:autoSpaceDN w:val="0"/>
        <w:adjustRightInd w:val="0"/>
        <w:spacing w:after="160" w:line="240" w:lineRule="auto"/>
        <w:jc w:val="both"/>
        <w:rPr>
          <w:rFonts w:cs="Times New Roman"/>
          <w:color w:val="000000"/>
          <w:lang w:val="fr-FR"/>
        </w:rPr>
      </w:pPr>
      <w:r w:rsidRPr="006A22A4">
        <w:rPr>
          <w:rFonts w:cs="Times New Roman"/>
          <w:b/>
          <w:color w:val="000000"/>
          <w:lang w:val="fr-FR"/>
        </w:rPr>
        <w:t>Pertinence des sujets proposés</w:t>
      </w:r>
      <w:r w:rsidRPr="006A22A4">
        <w:rPr>
          <w:rFonts w:cs="Times New Roman"/>
          <w:color w:val="000000"/>
          <w:lang w:val="fr-FR"/>
        </w:rPr>
        <w:t xml:space="preserve"> : Comme il sera impossible de </w:t>
      </w:r>
      <w:r>
        <w:rPr>
          <w:rFonts w:cs="Times New Roman"/>
          <w:color w:val="000000"/>
          <w:lang w:val="fr-FR"/>
        </w:rPr>
        <w:t xml:space="preserve">proposer un si grand nombre </w:t>
      </w:r>
      <w:r w:rsidRPr="006A22A4">
        <w:rPr>
          <w:rFonts w:cs="Times New Roman"/>
          <w:color w:val="000000"/>
          <w:lang w:val="fr-FR"/>
        </w:rPr>
        <w:t xml:space="preserve">de sujets de discussion lors d'un événement de 2 jours </w:t>
      </w:r>
      <w:r>
        <w:rPr>
          <w:rFonts w:cs="Times New Roman"/>
          <w:color w:val="000000"/>
          <w:lang w:val="fr-FR"/>
        </w:rPr>
        <w:t>seulement</w:t>
      </w:r>
      <w:r w:rsidRPr="006A22A4">
        <w:rPr>
          <w:rFonts w:cs="Times New Roman"/>
          <w:color w:val="000000"/>
          <w:lang w:val="fr-FR"/>
        </w:rPr>
        <w:t xml:space="preserve">, nous avons besoin d'affiner cette liste </w:t>
      </w:r>
      <w:r>
        <w:rPr>
          <w:rFonts w:cs="Times New Roman"/>
          <w:color w:val="000000"/>
          <w:lang w:val="fr-FR"/>
        </w:rPr>
        <w:t xml:space="preserve">en déterminant les </w:t>
      </w:r>
      <w:r w:rsidRPr="006A22A4">
        <w:rPr>
          <w:rFonts w:cs="Times New Roman"/>
          <w:color w:val="000000"/>
          <w:lang w:val="fr-FR"/>
        </w:rPr>
        <w:t xml:space="preserve">sujets </w:t>
      </w:r>
      <w:r>
        <w:rPr>
          <w:rFonts w:cs="Times New Roman"/>
          <w:color w:val="000000"/>
          <w:lang w:val="fr-FR"/>
        </w:rPr>
        <w:t>qui devraient être traités en priorité</w:t>
      </w:r>
      <w:r w:rsidRPr="006A22A4">
        <w:rPr>
          <w:rFonts w:cs="Times New Roman"/>
          <w:color w:val="000000"/>
          <w:lang w:val="fr-FR"/>
        </w:rPr>
        <w:t>. Pour nous aider à y parvenir, nous vous prions de "</w:t>
      </w:r>
      <w:r>
        <w:rPr>
          <w:rFonts w:cs="Times New Roman"/>
          <w:color w:val="000000"/>
          <w:lang w:val="fr-FR"/>
        </w:rPr>
        <w:t>classer</w:t>
      </w:r>
      <w:r w:rsidRPr="006A22A4">
        <w:rPr>
          <w:rFonts w:cs="Times New Roman"/>
          <w:color w:val="000000"/>
          <w:lang w:val="fr-FR"/>
        </w:rPr>
        <w:t xml:space="preserve">" les sujets proposés sur une échelle de </w:t>
      </w:r>
      <w:r>
        <w:rPr>
          <w:rFonts w:cs="Times New Roman"/>
          <w:color w:val="000000"/>
          <w:lang w:val="fr-FR"/>
        </w:rPr>
        <w:t xml:space="preserve">0 à 4, </w:t>
      </w:r>
      <w:r w:rsidRPr="006A22A4">
        <w:rPr>
          <w:rFonts w:cs="Times New Roman"/>
          <w:color w:val="000000"/>
          <w:lang w:val="fr-FR"/>
        </w:rPr>
        <w:t>en fonction</w:t>
      </w:r>
      <w:r>
        <w:rPr>
          <w:rFonts w:cs="Times New Roman"/>
          <w:color w:val="000000"/>
          <w:lang w:val="fr-FR"/>
        </w:rPr>
        <w:t xml:space="preserve"> de votre intérêt pour le sujet</w:t>
      </w:r>
      <w:r w:rsidRPr="006A22A4">
        <w:rPr>
          <w:rFonts w:cs="Times New Roman"/>
          <w:color w:val="000000"/>
          <w:lang w:val="fr-FR"/>
        </w:rPr>
        <w:t>, son importance pour le développement de</w:t>
      </w:r>
      <w:r>
        <w:rPr>
          <w:rFonts w:cs="Times New Roman"/>
          <w:color w:val="000000"/>
          <w:lang w:val="fr-FR"/>
        </w:rPr>
        <w:t>s</w:t>
      </w:r>
      <w:r w:rsidRPr="006A22A4">
        <w:rPr>
          <w:rFonts w:cs="Times New Roman"/>
          <w:color w:val="000000"/>
          <w:lang w:val="fr-FR"/>
        </w:rPr>
        <w:t xml:space="preserve"> politiques de transport en Afrique et sa pertinence pour votre propre travail.</w:t>
      </w:r>
    </w:p>
    <w:p w:rsidR="008C5AC5" w:rsidRPr="00C97F86" w:rsidRDefault="008C5AC5" w:rsidP="00320C51">
      <w:pPr>
        <w:autoSpaceDE w:val="0"/>
        <w:autoSpaceDN w:val="0"/>
        <w:adjustRightInd w:val="0"/>
        <w:spacing w:after="0" w:line="240" w:lineRule="auto"/>
        <w:ind w:left="630"/>
        <w:rPr>
          <w:rFonts w:cs="Times New Roman"/>
          <w:color w:val="000000"/>
          <w:lang w:val="fr-FR"/>
        </w:rPr>
      </w:pPr>
      <w:r w:rsidRPr="00C97F86">
        <w:rPr>
          <w:rFonts w:cs="Times New Roman"/>
          <w:b/>
          <w:bCs/>
          <w:color w:val="000000"/>
          <w:lang w:val="fr-FR"/>
        </w:rPr>
        <w:t>0</w:t>
      </w:r>
      <w:r w:rsidRPr="00C97F86">
        <w:rPr>
          <w:rFonts w:cs="Times New Roman"/>
          <w:color w:val="000000"/>
          <w:lang w:val="fr-FR"/>
        </w:rPr>
        <w:t>: Ce sujet ne pr</w:t>
      </w:r>
      <w:r>
        <w:rPr>
          <w:rFonts w:cs="Times New Roman"/>
          <w:color w:val="000000"/>
          <w:lang w:val="fr-FR"/>
        </w:rPr>
        <w:t xml:space="preserve">ésente aucun intérêt pour moi, </w:t>
      </w:r>
      <w:r w:rsidRPr="00C97F86">
        <w:rPr>
          <w:rFonts w:cs="Times New Roman"/>
          <w:color w:val="000000"/>
          <w:lang w:val="fr-FR"/>
        </w:rPr>
        <w:t xml:space="preserve">je ne pense pas qu'il devrait </w:t>
      </w:r>
      <w:r>
        <w:rPr>
          <w:rFonts w:cs="Times New Roman"/>
          <w:color w:val="000000"/>
          <w:lang w:val="fr-FR"/>
        </w:rPr>
        <w:t>faire partie du programme.</w:t>
      </w:r>
    </w:p>
    <w:p w:rsidR="008C5AC5" w:rsidRPr="00C97F86" w:rsidRDefault="008C5AC5" w:rsidP="00320C51">
      <w:pPr>
        <w:autoSpaceDE w:val="0"/>
        <w:autoSpaceDN w:val="0"/>
        <w:adjustRightInd w:val="0"/>
        <w:spacing w:after="0" w:line="240" w:lineRule="auto"/>
        <w:ind w:left="630"/>
        <w:rPr>
          <w:rFonts w:cs="Times New Roman"/>
          <w:color w:val="000000"/>
          <w:lang w:val="fr-FR"/>
        </w:rPr>
      </w:pPr>
      <w:r w:rsidRPr="00C97F86">
        <w:rPr>
          <w:rFonts w:cs="Times New Roman"/>
          <w:b/>
          <w:color w:val="000000"/>
          <w:lang w:val="fr-FR"/>
        </w:rPr>
        <w:t>1</w:t>
      </w:r>
      <w:r w:rsidRPr="00C97F86">
        <w:rPr>
          <w:rFonts w:cs="Times New Roman"/>
          <w:color w:val="000000"/>
          <w:lang w:val="fr-FR"/>
        </w:rPr>
        <w:t xml:space="preserve">: </w:t>
      </w:r>
      <w:r>
        <w:rPr>
          <w:rFonts w:cs="Times New Roman"/>
          <w:color w:val="000000"/>
          <w:lang w:val="fr-FR"/>
        </w:rPr>
        <w:t>C</w:t>
      </w:r>
      <w:r w:rsidRPr="00C97F86">
        <w:rPr>
          <w:rFonts w:cs="Times New Roman"/>
          <w:color w:val="000000"/>
          <w:lang w:val="fr-FR"/>
        </w:rPr>
        <w:t xml:space="preserve">e sujet </w:t>
      </w:r>
      <w:r>
        <w:rPr>
          <w:rFonts w:cs="Times New Roman"/>
          <w:color w:val="000000"/>
          <w:lang w:val="fr-FR"/>
        </w:rPr>
        <w:t xml:space="preserve">présente un </w:t>
      </w:r>
      <w:r w:rsidRPr="00C97F86">
        <w:rPr>
          <w:rFonts w:cs="Times New Roman"/>
          <w:color w:val="000000"/>
          <w:lang w:val="fr-FR"/>
        </w:rPr>
        <w:t xml:space="preserve">peu d'intérêt </w:t>
      </w:r>
      <w:r>
        <w:rPr>
          <w:rFonts w:cs="Times New Roman"/>
          <w:color w:val="000000"/>
          <w:lang w:val="fr-FR"/>
        </w:rPr>
        <w:t>pour moi</w:t>
      </w:r>
      <w:r w:rsidRPr="00C97F86">
        <w:rPr>
          <w:rFonts w:cs="Times New Roman"/>
          <w:color w:val="000000"/>
          <w:lang w:val="fr-FR"/>
        </w:rPr>
        <w:t xml:space="preserve">, </w:t>
      </w:r>
      <w:r>
        <w:rPr>
          <w:rFonts w:cs="Times New Roman"/>
          <w:color w:val="000000"/>
          <w:lang w:val="fr-FR"/>
        </w:rPr>
        <w:t>mais constitue une faible priorité.</w:t>
      </w:r>
    </w:p>
    <w:p w:rsidR="008C5AC5" w:rsidRPr="00C97F86" w:rsidRDefault="008C5AC5" w:rsidP="00320C51">
      <w:pPr>
        <w:autoSpaceDE w:val="0"/>
        <w:autoSpaceDN w:val="0"/>
        <w:adjustRightInd w:val="0"/>
        <w:spacing w:after="0" w:line="240" w:lineRule="auto"/>
        <w:ind w:left="630"/>
        <w:rPr>
          <w:rFonts w:cs="Times New Roman"/>
          <w:color w:val="000000"/>
          <w:lang w:val="fr-FR"/>
        </w:rPr>
      </w:pPr>
      <w:r w:rsidRPr="00C97F86">
        <w:rPr>
          <w:rFonts w:cs="Times New Roman"/>
          <w:b/>
          <w:color w:val="000000"/>
          <w:lang w:val="fr-FR"/>
        </w:rPr>
        <w:t>2</w:t>
      </w:r>
      <w:r w:rsidRPr="00C97F86">
        <w:rPr>
          <w:rFonts w:cs="Times New Roman"/>
          <w:color w:val="000000"/>
          <w:lang w:val="fr-FR"/>
        </w:rPr>
        <w:t xml:space="preserve"> : Je suis modérément intéressé</w:t>
      </w:r>
      <w:r>
        <w:rPr>
          <w:rFonts w:cs="Times New Roman"/>
          <w:color w:val="000000"/>
          <w:lang w:val="fr-FR"/>
        </w:rPr>
        <w:t>.</w:t>
      </w:r>
    </w:p>
    <w:p w:rsidR="008C5AC5" w:rsidRPr="00C97F86" w:rsidRDefault="008C5AC5" w:rsidP="00320C51">
      <w:pPr>
        <w:autoSpaceDE w:val="0"/>
        <w:autoSpaceDN w:val="0"/>
        <w:adjustRightInd w:val="0"/>
        <w:spacing w:after="0" w:line="240" w:lineRule="auto"/>
        <w:ind w:left="630"/>
        <w:rPr>
          <w:rFonts w:cs="Times New Roman"/>
          <w:color w:val="000000"/>
          <w:lang w:val="fr-FR"/>
        </w:rPr>
      </w:pPr>
      <w:r w:rsidRPr="00C97F86">
        <w:rPr>
          <w:rFonts w:cs="Times New Roman"/>
          <w:b/>
          <w:color w:val="000000"/>
          <w:lang w:val="fr-FR"/>
        </w:rPr>
        <w:t>3</w:t>
      </w:r>
      <w:r w:rsidRPr="00C97F86">
        <w:rPr>
          <w:rFonts w:cs="Times New Roman"/>
          <w:color w:val="000000"/>
          <w:lang w:val="fr-FR"/>
        </w:rPr>
        <w:t xml:space="preserve"> : Je suis intéressé </w:t>
      </w:r>
      <w:r>
        <w:rPr>
          <w:rFonts w:cs="Times New Roman"/>
          <w:color w:val="000000"/>
          <w:lang w:val="fr-FR"/>
        </w:rPr>
        <w:t>par ce sujet</w:t>
      </w:r>
      <w:r w:rsidRPr="00C97F86">
        <w:rPr>
          <w:rFonts w:cs="Times New Roman"/>
          <w:color w:val="000000"/>
          <w:lang w:val="fr-FR"/>
        </w:rPr>
        <w:t xml:space="preserve">, je crois qu'il devrait </w:t>
      </w:r>
      <w:r>
        <w:rPr>
          <w:rFonts w:cs="Times New Roman"/>
          <w:color w:val="000000"/>
          <w:lang w:val="fr-FR"/>
        </w:rPr>
        <w:t xml:space="preserve">faire partie du </w:t>
      </w:r>
      <w:r w:rsidRPr="003C45C6">
        <w:rPr>
          <w:rFonts w:cs="Times New Roman"/>
          <w:color w:val="000000"/>
          <w:lang w:val="fr-FR"/>
        </w:rPr>
        <w:t>programme</w:t>
      </w:r>
      <w:r>
        <w:rPr>
          <w:rFonts w:cs="Times New Roman"/>
          <w:color w:val="000000"/>
          <w:lang w:val="fr-FR"/>
        </w:rPr>
        <w:t>.</w:t>
      </w:r>
    </w:p>
    <w:p w:rsidR="008C5AC5" w:rsidRPr="00C97F86" w:rsidRDefault="008C5AC5" w:rsidP="00320C51">
      <w:pPr>
        <w:autoSpaceDE w:val="0"/>
        <w:autoSpaceDN w:val="0"/>
        <w:adjustRightInd w:val="0"/>
        <w:spacing w:after="160" w:line="240" w:lineRule="auto"/>
        <w:ind w:left="630"/>
        <w:rPr>
          <w:rFonts w:cs="Times New Roman"/>
          <w:color w:val="000000"/>
          <w:lang w:val="fr-FR"/>
        </w:rPr>
      </w:pPr>
      <w:r w:rsidRPr="00C97F86">
        <w:rPr>
          <w:rFonts w:cs="Times New Roman"/>
          <w:b/>
          <w:color w:val="000000"/>
          <w:lang w:val="fr-FR"/>
        </w:rPr>
        <w:t>4</w:t>
      </w:r>
      <w:r w:rsidRPr="00C97F86">
        <w:rPr>
          <w:rFonts w:cs="Times New Roman"/>
          <w:color w:val="000000"/>
          <w:lang w:val="fr-FR"/>
        </w:rPr>
        <w:t>: Je s</w:t>
      </w:r>
      <w:r>
        <w:rPr>
          <w:rFonts w:cs="Times New Roman"/>
          <w:color w:val="000000"/>
          <w:lang w:val="fr-FR"/>
        </w:rPr>
        <w:t>uis très intéressé par ce sujet</w:t>
      </w:r>
      <w:r w:rsidRPr="00C97F86">
        <w:rPr>
          <w:rFonts w:cs="Times New Roman"/>
          <w:color w:val="000000"/>
          <w:lang w:val="fr-FR"/>
        </w:rPr>
        <w:t xml:space="preserve">, </w:t>
      </w:r>
      <w:r>
        <w:rPr>
          <w:rFonts w:cs="Times New Roman"/>
          <w:color w:val="000000"/>
          <w:lang w:val="fr-FR"/>
        </w:rPr>
        <w:t>qui constitue pour moi une priorité.</w:t>
      </w:r>
    </w:p>
    <w:p w:rsidR="008C5AC5" w:rsidRDefault="008C5AC5" w:rsidP="00320C51">
      <w:pPr>
        <w:autoSpaceDE w:val="0"/>
        <w:autoSpaceDN w:val="0"/>
        <w:adjustRightInd w:val="0"/>
        <w:spacing w:after="160" w:line="240" w:lineRule="auto"/>
        <w:jc w:val="both"/>
        <w:rPr>
          <w:rFonts w:cs="Times New Roman"/>
          <w:color w:val="000000"/>
          <w:lang w:val="fr-FR"/>
        </w:rPr>
      </w:pPr>
      <w:r>
        <w:rPr>
          <w:rFonts w:cs="Times New Roman"/>
          <w:color w:val="000000"/>
          <w:lang w:val="fr-FR"/>
        </w:rPr>
        <w:t xml:space="preserve">Sur le formulaire, vous avez la possibilité à côté de chaque thème proposé, d’émettre </w:t>
      </w:r>
      <w:r w:rsidRPr="00C97F86">
        <w:rPr>
          <w:rFonts w:cs="Times New Roman"/>
          <w:color w:val="000000"/>
          <w:lang w:val="fr-FR"/>
        </w:rPr>
        <w:t xml:space="preserve">des </w:t>
      </w:r>
      <w:r w:rsidRPr="00C97F86">
        <w:rPr>
          <w:rFonts w:cs="Times New Roman"/>
          <w:b/>
          <w:color w:val="000000"/>
          <w:lang w:val="fr-FR"/>
        </w:rPr>
        <w:t>commentaires supplémentaires</w:t>
      </w:r>
      <w:r w:rsidRPr="00C97F86">
        <w:rPr>
          <w:rFonts w:cs="Times New Roman"/>
          <w:color w:val="000000"/>
          <w:lang w:val="fr-FR"/>
        </w:rPr>
        <w:t xml:space="preserve"> </w:t>
      </w:r>
      <w:r>
        <w:rPr>
          <w:rFonts w:cs="Times New Roman"/>
          <w:color w:val="000000"/>
          <w:lang w:val="fr-FR"/>
        </w:rPr>
        <w:t xml:space="preserve">si </w:t>
      </w:r>
      <w:r w:rsidRPr="00C97F86">
        <w:rPr>
          <w:rFonts w:cs="Times New Roman"/>
          <w:color w:val="000000"/>
          <w:lang w:val="fr-FR"/>
        </w:rPr>
        <w:t>nécessaire</w:t>
      </w:r>
      <w:r>
        <w:rPr>
          <w:rFonts w:cs="Times New Roman"/>
          <w:color w:val="000000"/>
          <w:lang w:val="fr-FR"/>
        </w:rPr>
        <w:t>s</w:t>
      </w:r>
      <w:r w:rsidRPr="00C97F86">
        <w:rPr>
          <w:rFonts w:cs="Times New Roman"/>
          <w:color w:val="000000"/>
          <w:lang w:val="fr-FR"/>
        </w:rPr>
        <w:t xml:space="preserve"> (</w:t>
      </w:r>
      <w:r>
        <w:rPr>
          <w:rFonts w:cs="Times New Roman"/>
          <w:color w:val="000000"/>
          <w:lang w:val="fr-FR"/>
        </w:rPr>
        <w:t xml:space="preserve">par exemple des </w:t>
      </w:r>
      <w:r w:rsidRPr="00C97F86">
        <w:rPr>
          <w:rFonts w:cs="Times New Roman"/>
          <w:color w:val="000000"/>
          <w:lang w:val="fr-FR"/>
        </w:rPr>
        <w:t>suggestion</w:t>
      </w:r>
      <w:r>
        <w:rPr>
          <w:rFonts w:cs="Times New Roman"/>
          <w:color w:val="000000"/>
          <w:lang w:val="fr-FR"/>
        </w:rPr>
        <w:t>s pour affiner le sujet proposé</w:t>
      </w:r>
      <w:r w:rsidRPr="00C97F86">
        <w:rPr>
          <w:rFonts w:cs="Times New Roman"/>
          <w:color w:val="000000"/>
          <w:lang w:val="fr-FR"/>
        </w:rPr>
        <w:t>, se concentrer sur un aspect particulier, présente</w:t>
      </w:r>
      <w:r>
        <w:rPr>
          <w:rFonts w:cs="Times New Roman"/>
          <w:color w:val="000000"/>
          <w:lang w:val="fr-FR"/>
        </w:rPr>
        <w:t>r</w:t>
      </w:r>
      <w:r w:rsidRPr="00C97F86">
        <w:rPr>
          <w:rFonts w:cs="Times New Roman"/>
          <w:color w:val="000000"/>
          <w:lang w:val="fr-FR"/>
        </w:rPr>
        <w:t xml:space="preserve"> un exemple concret)</w:t>
      </w:r>
      <w:r>
        <w:rPr>
          <w:rFonts w:cs="Times New Roman"/>
          <w:color w:val="000000"/>
          <w:lang w:val="fr-FR"/>
        </w:rPr>
        <w:t>.</w:t>
      </w:r>
    </w:p>
    <w:p w:rsidR="008C5AC5" w:rsidRDefault="008C5AC5" w:rsidP="00320C51">
      <w:pPr>
        <w:autoSpaceDE w:val="0"/>
        <w:autoSpaceDN w:val="0"/>
        <w:adjustRightInd w:val="0"/>
        <w:spacing w:after="160" w:line="240" w:lineRule="auto"/>
        <w:jc w:val="both"/>
        <w:rPr>
          <w:rFonts w:cs="Times New Roman"/>
          <w:color w:val="000000"/>
          <w:lang w:val="fr-FR"/>
        </w:rPr>
      </w:pPr>
      <w:r w:rsidRPr="00C97F86">
        <w:rPr>
          <w:rFonts w:cs="Times New Roman"/>
          <w:color w:val="000000"/>
          <w:lang w:val="fr-FR"/>
        </w:rPr>
        <w:t xml:space="preserve">À la fin </w:t>
      </w:r>
      <w:r>
        <w:rPr>
          <w:rFonts w:cs="Times New Roman"/>
          <w:color w:val="000000"/>
          <w:lang w:val="fr-FR"/>
        </w:rPr>
        <w:t xml:space="preserve">du document, vous trouverez un </w:t>
      </w:r>
      <w:r w:rsidRPr="00C97F86">
        <w:rPr>
          <w:rFonts w:cs="Times New Roman"/>
          <w:color w:val="000000"/>
          <w:lang w:val="fr-FR"/>
        </w:rPr>
        <w:t>table</w:t>
      </w:r>
      <w:r>
        <w:rPr>
          <w:rFonts w:cs="Times New Roman"/>
          <w:color w:val="000000"/>
          <w:lang w:val="fr-FR"/>
        </w:rPr>
        <w:t>au où vous pourr</w:t>
      </w:r>
      <w:r w:rsidRPr="00C97F86">
        <w:rPr>
          <w:rFonts w:cs="Times New Roman"/>
          <w:color w:val="000000"/>
          <w:lang w:val="fr-FR"/>
        </w:rPr>
        <w:t xml:space="preserve">ez </w:t>
      </w:r>
      <w:r w:rsidRPr="006E77ED">
        <w:rPr>
          <w:rFonts w:cs="Times New Roman"/>
          <w:b/>
          <w:color w:val="000000"/>
          <w:lang w:val="fr-FR"/>
        </w:rPr>
        <w:t>suggérer d'autres sujets</w:t>
      </w:r>
      <w:r w:rsidRPr="00C97F86">
        <w:rPr>
          <w:rFonts w:cs="Times New Roman"/>
          <w:color w:val="000000"/>
          <w:lang w:val="fr-FR"/>
        </w:rPr>
        <w:t xml:space="preserve"> </w:t>
      </w:r>
      <w:r>
        <w:rPr>
          <w:rFonts w:cs="Times New Roman"/>
          <w:color w:val="000000"/>
          <w:lang w:val="fr-FR"/>
        </w:rPr>
        <w:t xml:space="preserve">qu’il vous semblerait important de discuter, mais ne figurent pas </w:t>
      </w:r>
      <w:r w:rsidRPr="00C97F86">
        <w:rPr>
          <w:rFonts w:cs="Times New Roman"/>
          <w:color w:val="000000"/>
          <w:lang w:val="fr-FR"/>
        </w:rPr>
        <w:t>dans no</w:t>
      </w:r>
      <w:r>
        <w:rPr>
          <w:rFonts w:cs="Times New Roman"/>
          <w:color w:val="000000"/>
          <w:lang w:val="fr-FR"/>
        </w:rPr>
        <w:t xml:space="preserve">tre </w:t>
      </w:r>
      <w:r w:rsidRPr="003C45C6">
        <w:rPr>
          <w:rFonts w:cs="Times New Roman"/>
          <w:color w:val="000000"/>
          <w:lang w:val="fr-FR"/>
        </w:rPr>
        <w:t xml:space="preserve">programme </w:t>
      </w:r>
      <w:r>
        <w:rPr>
          <w:rFonts w:cs="Times New Roman"/>
          <w:color w:val="000000"/>
          <w:lang w:val="fr-FR"/>
        </w:rPr>
        <w:t>préliminaire.</w:t>
      </w:r>
    </w:p>
    <w:p w:rsidR="008C5AC5" w:rsidRPr="006E77ED" w:rsidRDefault="008C5AC5" w:rsidP="00320C51">
      <w:pPr>
        <w:autoSpaceDE w:val="0"/>
        <w:autoSpaceDN w:val="0"/>
        <w:adjustRightInd w:val="0"/>
        <w:spacing w:after="0" w:line="240" w:lineRule="auto"/>
        <w:contextualSpacing/>
        <w:jc w:val="both"/>
        <w:rPr>
          <w:rFonts w:cs="Times New Roman"/>
          <w:color w:val="000000"/>
          <w:lang w:val="fr-FR"/>
        </w:rPr>
      </w:pPr>
      <w:r w:rsidRPr="006E77ED">
        <w:rPr>
          <w:rFonts w:cs="Times New Roman"/>
          <w:color w:val="000000"/>
          <w:lang w:val="fr-FR"/>
        </w:rPr>
        <w:t>Nous espérons également que vous serez prêt à parta</w:t>
      </w:r>
      <w:r>
        <w:rPr>
          <w:rFonts w:cs="Times New Roman"/>
          <w:color w:val="000000"/>
          <w:lang w:val="fr-FR"/>
        </w:rPr>
        <w:t>ger vos expériences lors de ce forum</w:t>
      </w:r>
      <w:r w:rsidRPr="006E77ED">
        <w:rPr>
          <w:rFonts w:cs="Times New Roman"/>
          <w:color w:val="000000"/>
          <w:lang w:val="fr-FR"/>
        </w:rPr>
        <w:t xml:space="preserve">. </w:t>
      </w:r>
      <w:r>
        <w:rPr>
          <w:rFonts w:cs="Times New Roman"/>
          <w:color w:val="000000"/>
          <w:lang w:val="fr-FR"/>
        </w:rPr>
        <w:t xml:space="preserve">Merci de bien vouloir </w:t>
      </w:r>
      <w:r w:rsidRPr="006E77ED">
        <w:rPr>
          <w:rFonts w:cs="Times New Roman"/>
          <w:color w:val="000000"/>
          <w:lang w:val="fr-FR"/>
        </w:rPr>
        <w:t xml:space="preserve">identifier </w:t>
      </w:r>
      <w:r>
        <w:rPr>
          <w:rFonts w:cs="Times New Roman"/>
          <w:color w:val="000000"/>
          <w:lang w:val="fr-FR"/>
        </w:rPr>
        <w:t xml:space="preserve">dans vos </w:t>
      </w:r>
      <w:r w:rsidRPr="006E77ED">
        <w:rPr>
          <w:rFonts w:cs="Times New Roman"/>
          <w:color w:val="000000"/>
          <w:lang w:val="fr-FR"/>
        </w:rPr>
        <w:t>suggestions les présentations que vous pro</w:t>
      </w:r>
      <w:r>
        <w:rPr>
          <w:rFonts w:cs="Times New Roman"/>
          <w:color w:val="000000"/>
          <w:lang w:val="fr-FR"/>
        </w:rPr>
        <w:t>poseriez de faire durant le forum</w:t>
      </w:r>
      <w:r w:rsidRPr="006E77ED">
        <w:rPr>
          <w:rFonts w:cs="Times New Roman"/>
          <w:color w:val="000000"/>
          <w:lang w:val="fr-FR"/>
        </w:rPr>
        <w:t>.</w:t>
      </w:r>
    </w:p>
    <w:p w:rsidR="00C60019" w:rsidRDefault="008C5AC5" w:rsidP="00C60019">
      <w:pPr>
        <w:autoSpaceDE w:val="0"/>
        <w:autoSpaceDN w:val="0"/>
        <w:adjustRightInd w:val="0"/>
        <w:spacing w:after="160" w:line="240" w:lineRule="auto"/>
        <w:jc w:val="both"/>
        <w:rPr>
          <w:rFonts w:cs="Times New Roman"/>
          <w:color w:val="000000"/>
          <w:lang w:val="fr-FR"/>
        </w:rPr>
      </w:pPr>
      <w:r>
        <w:rPr>
          <w:rFonts w:cs="Times New Roman"/>
          <w:color w:val="000000"/>
          <w:lang w:val="fr-FR"/>
        </w:rPr>
        <w:t>En examinant le programme</w:t>
      </w:r>
      <w:r w:rsidRPr="00985637">
        <w:rPr>
          <w:rFonts w:cs="Times New Roman"/>
          <w:color w:val="000000"/>
          <w:lang w:val="fr-FR"/>
        </w:rPr>
        <w:t xml:space="preserve">, </w:t>
      </w:r>
      <w:r w:rsidRPr="00985637">
        <w:rPr>
          <w:rFonts w:cs="Times New Roman"/>
          <w:i/>
          <w:color w:val="000000"/>
          <w:lang w:val="fr-FR"/>
        </w:rPr>
        <w:t>merci de garder à l'esprit les aspects suivants</w:t>
      </w:r>
      <w:r w:rsidRPr="00985637">
        <w:rPr>
          <w:rFonts w:cs="Times New Roman"/>
          <w:color w:val="000000"/>
          <w:lang w:val="fr-FR"/>
        </w:rPr>
        <w:t xml:space="preserve">, </w:t>
      </w:r>
      <w:r>
        <w:rPr>
          <w:rFonts w:cs="Times New Roman"/>
          <w:color w:val="000000"/>
          <w:lang w:val="fr-FR"/>
        </w:rPr>
        <w:t xml:space="preserve">qui découlent </w:t>
      </w:r>
      <w:r w:rsidRPr="00985637">
        <w:rPr>
          <w:rFonts w:cs="Times New Roman"/>
          <w:color w:val="000000"/>
          <w:lang w:val="fr-FR"/>
        </w:rPr>
        <w:t xml:space="preserve">des commentaires que nous avons reçus </w:t>
      </w:r>
      <w:r>
        <w:rPr>
          <w:rFonts w:cs="Times New Roman"/>
          <w:color w:val="000000"/>
          <w:lang w:val="fr-FR"/>
        </w:rPr>
        <w:t xml:space="preserve">à l’issue de </w:t>
      </w:r>
      <w:r w:rsidRPr="00985637">
        <w:rPr>
          <w:rFonts w:cs="Times New Roman"/>
          <w:color w:val="000000"/>
          <w:lang w:val="fr-FR"/>
        </w:rPr>
        <w:t xml:space="preserve">la </w:t>
      </w:r>
      <w:r>
        <w:rPr>
          <w:rFonts w:cs="Times New Roman"/>
          <w:color w:val="000000"/>
          <w:lang w:val="fr-FR"/>
        </w:rPr>
        <w:t>R</w:t>
      </w:r>
      <w:r w:rsidRPr="00985637">
        <w:rPr>
          <w:rFonts w:cs="Times New Roman"/>
          <w:color w:val="000000"/>
          <w:lang w:val="fr-FR"/>
        </w:rPr>
        <w:t xml:space="preserve">éunion </w:t>
      </w:r>
      <w:r>
        <w:rPr>
          <w:rFonts w:cs="Times New Roman"/>
          <w:color w:val="000000"/>
          <w:lang w:val="fr-FR"/>
        </w:rPr>
        <w:t>A</w:t>
      </w:r>
      <w:r w:rsidRPr="00985637">
        <w:rPr>
          <w:rFonts w:cs="Times New Roman"/>
          <w:color w:val="000000"/>
          <w:lang w:val="fr-FR"/>
        </w:rPr>
        <w:t>nnuelle de l'an dernier :</w:t>
      </w:r>
    </w:p>
    <w:p w:rsidR="00C60019" w:rsidRPr="00C60019" w:rsidRDefault="008C5AC5" w:rsidP="00C60019">
      <w:pPr>
        <w:pStyle w:val="ListParagraph"/>
        <w:numPr>
          <w:ilvl w:val="0"/>
          <w:numId w:val="9"/>
        </w:numPr>
        <w:autoSpaceDE w:val="0"/>
        <w:autoSpaceDN w:val="0"/>
        <w:adjustRightInd w:val="0"/>
        <w:spacing w:after="160" w:line="240" w:lineRule="auto"/>
        <w:ind w:left="1080"/>
        <w:jc w:val="both"/>
        <w:rPr>
          <w:rFonts w:cs="Times New Roman"/>
          <w:color w:val="000000"/>
          <w:lang w:val="fr-FR"/>
        </w:rPr>
      </w:pPr>
      <w:r w:rsidRPr="00C60019">
        <w:rPr>
          <w:rFonts w:cs="Times New Roman"/>
          <w:bCs/>
          <w:color w:val="000000"/>
          <w:lang w:val="fr-FR"/>
        </w:rPr>
        <w:t xml:space="preserve">Le programme doit se concentrer sur des </w:t>
      </w:r>
      <w:r w:rsidRPr="00C60019">
        <w:rPr>
          <w:rFonts w:cs="Times New Roman"/>
          <w:b/>
          <w:bCs/>
          <w:color w:val="000000"/>
          <w:lang w:val="fr-FR"/>
        </w:rPr>
        <w:t>discussions concrètes et pratiques</w:t>
      </w:r>
      <w:r w:rsidRPr="00C60019">
        <w:rPr>
          <w:rFonts w:cs="Times New Roman"/>
          <w:bCs/>
          <w:color w:val="000000"/>
          <w:lang w:val="fr-FR"/>
        </w:rPr>
        <w:t xml:space="preserve"> qui apporteront une réelle valeur aux participants; les participants se plaignent souvent que, malgré la qualité incontestable de la plupart des événements, les séances ont tendance à être trop académiques et abstraites, avec </w:t>
      </w:r>
      <w:r w:rsidRPr="00C60019">
        <w:rPr>
          <w:rFonts w:cs="Times New Roman"/>
          <w:b/>
          <w:bCs/>
          <w:color w:val="000000"/>
          <w:lang w:val="fr-FR"/>
        </w:rPr>
        <w:t>très peu de conclusions qu'ils peuvent appliquer directement à leur travail</w:t>
      </w:r>
      <w:r w:rsidRPr="00C60019">
        <w:rPr>
          <w:rFonts w:cs="Times New Roman"/>
          <w:bCs/>
          <w:color w:val="000000"/>
          <w:lang w:val="fr-FR"/>
        </w:rPr>
        <w:t>.</w:t>
      </w:r>
    </w:p>
    <w:p w:rsidR="00C60019" w:rsidRPr="00C60019" w:rsidRDefault="008C5AC5" w:rsidP="00C60019">
      <w:pPr>
        <w:pStyle w:val="ListParagraph"/>
        <w:numPr>
          <w:ilvl w:val="0"/>
          <w:numId w:val="9"/>
        </w:numPr>
        <w:autoSpaceDE w:val="0"/>
        <w:autoSpaceDN w:val="0"/>
        <w:adjustRightInd w:val="0"/>
        <w:spacing w:after="160" w:line="240" w:lineRule="auto"/>
        <w:ind w:left="1080"/>
        <w:jc w:val="both"/>
        <w:rPr>
          <w:rFonts w:cs="Times New Roman"/>
          <w:color w:val="000000"/>
          <w:lang w:val="fr-FR"/>
        </w:rPr>
      </w:pPr>
      <w:r w:rsidRPr="00C60019">
        <w:rPr>
          <w:rFonts w:cs="Times New Roman"/>
          <w:bCs/>
          <w:color w:val="000000"/>
          <w:lang w:val="fr-FR"/>
        </w:rPr>
        <w:t xml:space="preserve">Lorsque vous effectuez des suggestions pour de nouvelles sessions, veuillez-vous assurer que vos propositions offrent des possibilités de </w:t>
      </w:r>
      <w:r w:rsidRPr="00C60019">
        <w:rPr>
          <w:rFonts w:cs="Times New Roman"/>
          <w:b/>
          <w:bCs/>
          <w:color w:val="000000"/>
          <w:lang w:val="fr-FR"/>
        </w:rPr>
        <w:t>discussion et d'échange entre tous les participants.</w:t>
      </w:r>
    </w:p>
    <w:p w:rsidR="008C5AC5" w:rsidRPr="00C60019" w:rsidRDefault="008C5AC5" w:rsidP="00C60019">
      <w:pPr>
        <w:pStyle w:val="ListParagraph"/>
        <w:numPr>
          <w:ilvl w:val="0"/>
          <w:numId w:val="9"/>
        </w:numPr>
        <w:autoSpaceDE w:val="0"/>
        <w:autoSpaceDN w:val="0"/>
        <w:adjustRightInd w:val="0"/>
        <w:spacing w:after="160" w:line="240" w:lineRule="auto"/>
        <w:ind w:left="1080"/>
        <w:jc w:val="both"/>
        <w:rPr>
          <w:rFonts w:cs="Times New Roman"/>
          <w:color w:val="000000"/>
          <w:lang w:val="fr-FR"/>
        </w:rPr>
      </w:pPr>
      <w:r w:rsidRPr="00C60019">
        <w:rPr>
          <w:rFonts w:cs="Times New Roman"/>
          <w:bCs/>
          <w:color w:val="000000"/>
          <w:lang w:val="fr-FR"/>
        </w:rPr>
        <w:t xml:space="preserve">Toutes les sessions doivent être </w:t>
      </w:r>
      <w:r w:rsidRPr="00C60019">
        <w:rPr>
          <w:rFonts w:cs="Times New Roman"/>
          <w:b/>
          <w:bCs/>
          <w:color w:val="000000"/>
          <w:lang w:val="fr-FR"/>
        </w:rPr>
        <w:t>liées aux priorités stratégiques du SSATP selon son plan de développement actuel</w:t>
      </w:r>
      <w:r w:rsidRPr="00C60019">
        <w:rPr>
          <w:rFonts w:cs="Times New Roman"/>
          <w:bCs/>
          <w:color w:val="000000"/>
          <w:lang w:val="fr-FR"/>
        </w:rPr>
        <w:t>:</w:t>
      </w:r>
    </w:p>
    <w:p w:rsidR="00320C51" w:rsidRDefault="008C5AC5" w:rsidP="00320C51">
      <w:pPr>
        <w:pStyle w:val="ListParagraph"/>
        <w:numPr>
          <w:ilvl w:val="0"/>
          <w:numId w:val="8"/>
        </w:numPr>
        <w:autoSpaceDE w:val="0"/>
        <w:autoSpaceDN w:val="0"/>
        <w:adjustRightInd w:val="0"/>
        <w:spacing w:after="0" w:line="240" w:lineRule="auto"/>
        <w:ind w:left="1440" w:hanging="270"/>
        <w:rPr>
          <w:rFonts w:cs="Times New Roman"/>
          <w:bCs/>
          <w:color w:val="000000"/>
          <w:lang w:val="fr-FR"/>
        </w:rPr>
      </w:pPr>
      <w:r w:rsidRPr="00320C51">
        <w:rPr>
          <w:rFonts w:cs="Times New Roman"/>
          <w:bCs/>
          <w:color w:val="000000"/>
          <w:lang w:val="fr-FR"/>
        </w:rPr>
        <w:t>Des politiques globales et des stratégies sectorielles des transports qui soient en faveur des pauvres et favorables à la croissance.</w:t>
      </w:r>
    </w:p>
    <w:p w:rsidR="00320C51" w:rsidRDefault="008C5AC5" w:rsidP="00320C51">
      <w:pPr>
        <w:pStyle w:val="ListParagraph"/>
        <w:numPr>
          <w:ilvl w:val="0"/>
          <w:numId w:val="8"/>
        </w:numPr>
        <w:autoSpaceDE w:val="0"/>
        <w:autoSpaceDN w:val="0"/>
        <w:adjustRightInd w:val="0"/>
        <w:spacing w:after="0" w:line="240" w:lineRule="auto"/>
        <w:ind w:firstLine="810"/>
        <w:rPr>
          <w:rFonts w:cs="Times New Roman"/>
          <w:bCs/>
          <w:color w:val="000000"/>
          <w:lang w:val="fr-FR"/>
        </w:rPr>
      </w:pPr>
      <w:r w:rsidRPr="00320C51">
        <w:rPr>
          <w:rFonts w:cs="Times New Roman"/>
          <w:bCs/>
          <w:color w:val="000000"/>
          <w:lang w:val="fr-FR"/>
        </w:rPr>
        <w:t>Des dispositions institutionnelles et financières efficaces dans le secteur routier.</w:t>
      </w:r>
    </w:p>
    <w:p w:rsidR="008C5AC5" w:rsidRPr="00320C51" w:rsidRDefault="008C5AC5" w:rsidP="00320C51">
      <w:pPr>
        <w:pStyle w:val="ListParagraph"/>
        <w:numPr>
          <w:ilvl w:val="0"/>
          <w:numId w:val="8"/>
        </w:numPr>
        <w:autoSpaceDE w:val="0"/>
        <w:autoSpaceDN w:val="0"/>
        <w:adjustRightInd w:val="0"/>
        <w:spacing w:after="0" w:line="240" w:lineRule="auto"/>
        <w:ind w:firstLine="810"/>
        <w:rPr>
          <w:rFonts w:cs="Times New Roman"/>
          <w:bCs/>
          <w:color w:val="000000"/>
          <w:lang w:val="fr-FR"/>
        </w:rPr>
      </w:pPr>
      <w:r w:rsidRPr="00320C51">
        <w:rPr>
          <w:rFonts w:cs="Times New Roman"/>
          <w:bCs/>
          <w:color w:val="000000"/>
          <w:lang w:val="fr-FR"/>
        </w:rPr>
        <w:t>Des mesures de facilitation du commerce pour une meilleure intégration régionale.</w:t>
      </w:r>
    </w:p>
    <w:p w:rsidR="003317F8" w:rsidRPr="007350D1" w:rsidRDefault="007350D1" w:rsidP="00055249">
      <w:pPr>
        <w:pBdr>
          <w:bottom w:val="single" w:sz="6" w:space="1" w:color="auto"/>
        </w:pBdr>
        <w:spacing w:line="240" w:lineRule="auto"/>
        <w:contextualSpacing/>
        <w:rPr>
          <w:b/>
          <w:lang w:val="fr-FR"/>
        </w:rPr>
      </w:pPr>
      <w:r w:rsidRPr="007350D1">
        <w:rPr>
          <w:rFonts w:cs="Times New Roman"/>
          <w:b/>
          <w:bCs/>
          <w:color w:val="000000"/>
          <w:lang w:val="fr-FR"/>
        </w:rPr>
        <w:lastRenderedPageBreak/>
        <w:t>1</w:t>
      </w:r>
      <w:r w:rsidRPr="007350D1">
        <w:rPr>
          <w:rFonts w:cs="Times New Roman"/>
          <w:b/>
          <w:bCs/>
          <w:color w:val="000000"/>
          <w:vertAlign w:val="superscript"/>
          <w:lang w:val="fr-FR"/>
        </w:rPr>
        <w:t>IER</w:t>
      </w:r>
      <w:r w:rsidRPr="007350D1">
        <w:rPr>
          <w:rFonts w:cs="Times New Roman"/>
          <w:b/>
          <w:bCs/>
          <w:color w:val="000000"/>
          <w:lang w:val="fr-FR"/>
        </w:rPr>
        <w:t xml:space="preserve"> JOUR: GOUVERNANCE </w:t>
      </w:r>
      <w:r>
        <w:rPr>
          <w:rFonts w:cs="Times New Roman"/>
          <w:b/>
          <w:bCs/>
          <w:color w:val="000000"/>
          <w:lang w:val="fr-FR"/>
        </w:rPr>
        <w:t>-</w:t>
      </w:r>
      <w:r w:rsidRPr="007350D1">
        <w:rPr>
          <w:rFonts w:cs="Times New Roman"/>
          <w:b/>
          <w:bCs/>
          <w:color w:val="000000"/>
          <w:lang w:val="fr-FR"/>
        </w:rPr>
        <w:t xml:space="preserve"> PROJETS PHARES DU SSATP</w:t>
      </w:r>
    </w:p>
    <w:p w:rsidR="00197F6F" w:rsidRPr="007350D1" w:rsidRDefault="00197F6F" w:rsidP="00055249">
      <w:pPr>
        <w:spacing w:line="240" w:lineRule="auto"/>
        <w:contextualSpacing/>
        <w:rPr>
          <w:b/>
          <w:lang w:val="fr-FR"/>
        </w:rPr>
      </w:pPr>
    </w:p>
    <w:p w:rsidR="00F95B7E" w:rsidRPr="007350D1" w:rsidRDefault="007350D1" w:rsidP="00F95B7E">
      <w:pPr>
        <w:spacing w:line="240" w:lineRule="auto"/>
        <w:contextualSpacing/>
        <w:rPr>
          <w:lang w:val="fr-FR"/>
        </w:rPr>
      </w:pPr>
      <w:r w:rsidRPr="007350D1">
        <w:rPr>
          <w:b/>
          <w:lang w:val="fr-FR"/>
        </w:rPr>
        <w:t>LA GOUVERNANCE DANS LE SECTEUR DES TRANSPORTS EN AFRIQUE</w:t>
      </w:r>
    </w:p>
    <w:p w:rsidR="00F95B7E" w:rsidRPr="00C60019" w:rsidRDefault="00F95B7E" w:rsidP="00F95B7E">
      <w:pPr>
        <w:spacing w:line="240" w:lineRule="auto"/>
        <w:contextualSpacing/>
        <w:rPr>
          <w:b/>
          <w:lang w:val="fr-FR"/>
        </w:rPr>
      </w:pPr>
    </w:p>
    <w:p w:rsidR="00F95B7E" w:rsidRDefault="007350D1" w:rsidP="007350D1">
      <w:pPr>
        <w:spacing w:line="240" w:lineRule="auto"/>
        <w:contextualSpacing/>
        <w:rPr>
          <w:lang w:val="fr-FR"/>
        </w:rPr>
      </w:pPr>
      <w:r w:rsidRPr="007350D1">
        <w:rPr>
          <w:rStyle w:val="hps"/>
          <w:lang w:val="fr-FR"/>
        </w:rPr>
        <w:t>La</w:t>
      </w:r>
      <w:r w:rsidRPr="007350D1">
        <w:rPr>
          <w:lang w:val="fr-FR"/>
        </w:rPr>
        <w:t xml:space="preserve"> </w:t>
      </w:r>
      <w:r w:rsidRPr="007350D1">
        <w:rPr>
          <w:rStyle w:val="hps"/>
          <w:lang w:val="fr-FR"/>
        </w:rPr>
        <w:t>question de la gouvernance</w:t>
      </w:r>
      <w:r w:rsidRPr="007350D1">
        <w:rPr>
          <w:lang w:val="fr-FR"/>
        </w:rPr>
        <w:t xml:space="preserve"> </w:t>
      </w:r>
      <w:r>
        <w:rPr>
          <w:rStyle w:val="hps"/>
          <w:lang w:val="fr-FR"/>
        </w:rPr>
        <w:t>dans le secteur des</w:t>
      </w:r>
      <w:r w:rsidRPr="007350D1">
        <w:rPr>
          <w:rStyle w:val="hps"/>
          <w:lang w:val="fr-FR"/>
        </w:rPr>
        <w:t xml:space="preserve"> transports</w:t>
      </w:r>
      <w:r w:rsidRPr="007350D1">
        <w:rPr>
          <w:lang w:val="fr-FR"/>
        </w:rPr>
        <w:t xml:space="preserve"> </w:t>
      </w:r>
      <w:r w:rsidRPr="007350D1">
        <w:rPr>
          <w:rStyle w:val="hps"/>
          <w:lang w:val="fr-FR"/>
        </w:rPr>
        <w:t>en Afrique</w:t>
      </w:r>
      <w:r w:rsidRPr="007350D1">
        <w:rPr>
          <w:lang w:val="fr-FR"/>
        </w:rPr>
        <w:t xml:space="preserve"> </w:t>
      </w:r>
      <w:r w:rsidRPr="007350D1">
        <w:rPr>
          <w:rStyle w:val="hps"/>
          <w:lang w:val="fr-FR"/>
        </w:rPr>
        <w:t>sera étudiée</w:t>
      </w:r>
      <w:r w:rsidRPr="007350D1">
        <w:rPr>
          <w:lang w:val="fr-FR"/>
        </w:rPr>
        <w:t xml:space="preserve"> </w:t>
      </w:r>
      <w:r w:rsidRPr="007350D1">
        <w:rPr>
          <w:rStyle w:val="hps"/>
          <w:lang w:val="fr-FR"/>
        </w:rPr>
        <w:t>sous trois angles différents</w:t>
      </w:r>
      <w:r w:rsidRPr="007350D1">
        <w:rPr>
          <w:lang w:val="fr-FR"/>
        </w:rPr>
        <w:t>:</w:t>
      </w:r>
    </w:p>
    <w:p w:rsidR="007350D1" w:rsidRPr="00C60019" w:rsidRDefault="007350D1" w:rsidP="007350D1">
      <w:pPr>
        <w:spacing w:line="240" w:lineRule="auto"/>
        <w:contextualSpacing/>
        <w:rPr>
          <w:b/>
          <w:lang w:val="fr-FR"/>
        </w:rPr>
      </w:pPr>
    </w:p>
    <w:p w:rsidR="00C60019" w:rsidRDefault="007350D1" w:rsidP="00C60019">
      <w:pPr>
        <w:spacing w:after="0" w:line="240" w:lineRule="auto"/>
        <w:ind w:left="720" w:hanging="720"/>
        <w:contextualSpacing/>
        <w:rPr>
          <w:b/>
          <w:i/>
          <w:sz w:val="24"/>
          <w:szCs w:val="24"/>
        </w:rPr>
      </w:pPr>
      <w:r w:rsidRPr="00C60019">
        <w:rPr>
          <w:b/>
          <w:i/>
          <w:sz w:val="24"/>
          <w:szCs w:val="24"/>
        </w:rPr>
        <w:t>Les i</w:t>
      </w:r>
      <w:r w:rsidR="00F95B7E" w:rsidRPr="00C60019">
        <w:rPr>
          <w:b/>
        </w:rPr>
        <w:t>n</w:t>
      </w:r>
      <w:r w:rsidR="00F95B7E" w:rsidRPr="00C60019">
        <w:rPr>
          <w:b/>
          <w:i/>
          <w:sz w:val="24"/>
          <w:szCs w:val="24"/>
        </w:rPr>
        <w:t>stitutions</w:t>
      </w:r>
    </w:p>
    <w:p w:rsidR="00C60019" w:rsidRPr="00C60019" w:rsidRDefault="00C60019" w:rsidP="00C60019">
      <w:pPr>
        <w:spacing w:after="0" w:line="240" w:lineRule="auto"/>
        <w:ind w:left="720" w:hanging="720"/>
        <w:contextualSpacing/>
        <w:rPr>
          <w:b/>
          <w:i/>
          <w:sz w:val="24"/>
          <w:szCs w:val="24"/>
        </w:rPr>
      </w:pPr>
    </w:p>
    <w:tbl>
      <w:tblPr>
        <w:tblStyle w:val="TableGrid"/>
        <w:tblW w:w="5000" w:type="pct"/>
        <w:tblLayout w:type="fixed"/>
        <w:tblLook w:val="04A0" w:firstRow="1" w:lastRow="0" w:firstColumn="1" w:lastColumn="0" w:noHBand="0" w:noVBand="1"/>
      </w:tblPr>
      <w:tblGrid>
        <w:gridCol w:w="1883"/>
        <w:gridCol w:w="4343"/>
        <w:gridCol w:w="543"/>
        <w:gridCol w:w="540"/>
        <w:gridCol w:w="451"/>
        <w:gridCol w:w="451"/>
        <w:gridCol w:w="509"/>
        <w:gridCol w:w="4456"/>
      </w:tblGrid>
      <w:tr w:rsidR="00763052" w:rsidRPr="00E25667" w:rsidTr="00C60019">
        <w:tc>
          <w:tcPr>
            <w:tcW w:w="715" w:type="pct"/>
            <w:vMerge w:val="restart"/>
            <w:shd w:val="clear" w:color="auto" w:fill="E5DFEC" w:themeFill="accent4" w:themeFillTint="33"/>
            <w:vAlign w:val="center"/>
          </w:tcPr>
          <w:p w:rsidR="002C55E7" w:rsidRPr="00C60019" w:rsidRDefault="007350D1" w:rsidP="00763052">
            <w:pPr>
              <w:contextualSpacing/>
              <w:jc w:val="center"/>
              <w:rPr>
                <w:b/>
                <w:i/>
                <w:sz w:val="18"/>
                <w:szCs w:val="18"/>
                <w:lang w:val="fr-FR"/>
              </w:rPr>
            </w:pPr>
            <w:r w:rsidRPr="00C60019">
              <w:rPr>
                <w:b/>
                <w:i/>
                <w:sz w:val="18"/>
                <w:szCs w:val="18"/>
                <w:lang w:val="fr-FR"/>
              </w:rPr>
              <w:t>Titre de la session</w:t>
            </w:r>
          </w:p>
        </w:tc>
        <w:tc>
          <w:tcPr>
            <w:tcW w:w="1648" w:type="pct"/>
            <w:vMerge w:val="restart"/>
            <w:shd w:val="clear" w:color="auto" w:fill="E5DFEC" w:themeFill="accent4" w:themeFillTint="33"/>
            <w:vAlign w:val="center"/>
          </w:tcPr>
          <w:p w:rsidR="002C55E7" w:rsidRPr="00C60019" w:rsidRDefault="002C55E7" w:rsidP="00763052">
            <w:pPr>
              <w:contextualSpacing/>
              <w:jc w:val="center"/>
              <w:rPr>
                <w:b/>
                <w:i/>
                <w:sz w:val="18"/>
                <w:szCs w:val="18"/>
                <w:lang w:val="fr-FR"/>
              </w:rPr>
            </w:pPr>
            <w:r w:rsidRPr="00C60019">
              <w:rPr>
                <w:b/>
                <w:i/>
                <w:sz w:val="18"/>
                <w:szCs w:val="18"/>
                <w:lang w:val="fr-FR"/>
              </w:rPr>
              <w:t>Description</w:t>
            </w:r>
          </w:p>
        </w:tc>
        <w:tc>
          <w:tcPr>
            <w:tcW w:w="946" w:type="pct"/>
            <w:gridSpan w:val="5"/>
            <w:shd w:val="clear" w:color="auto" w:fill="E5DFEC" w:themeFill="accent4" w:themeFillTint="33"/>
            <w:vAlign w:val="center"/>
          </w:tcPr>
          <w:p w:rsidR="002C55E7" w:rsidRPr="00C60019" w:rsidRDefault="007350D1" w:rsidP="00763052">
            <w:pPr>
              <w:contextualSpacing/>
              <w:jc w:val="center"/>
              <w:rPr>
                <w:b/>
                <w:i/>
                <w:sz w:val="18"/>
                <w:szCs w:val="18"/>
                <w:lang w:val="fr-FR"/>
              </w:rPr>
            </w:pPr>
            <w:r w:rsidRPr="00C60019">
              <w:rPr>
                <w:b/>
                <w:i/>
                <w:sz w:val="18"/>
                <w:szCs w:val="18"/>
                <w:lang w:val="fr-FR"/>
              </w:rPr>
              <w:t>Comment classeriez-vous la séance? (Importance / pertinence du sujet)</w:t>
            </w:r>
          </w:p>
        </w:tc>
        <w:tc>
          <w:tcPr>
            <w:tcW w:w="1691" w:type="pct"/>
            <w:vMerge w:val="restart"/>
            <w:shd w:val="clear" w:color="auto" w:fill="E5DFEC" w:themeFill="accent4" w:themeFillTint="33"/>
            <w:vAlign w:val="center"/>
          </w:tcPr>
          <w:p w:rsidR="002C55E7" w:rsidRPr="00C60019" w:rsidRDefault="007350D1" w:rsidP="00763052">
            <w:pPr>
              <w:contextualSpacing/>
              <w:jc w:val="center"/>
              <w:rPr>
                <w:b/>
                <w:i/>
                <w:sz w:val="18"/>
                <w:szCs w:val="18"/>
                <w:lang w:val="fr-FR"/>
              </w:rPr>
            </w:pPr>
            <w:r w:rsidRPr="00C60019">
              <w:rPr>
                <w:b/>
                <w:i/>
                <w:sz w:val="18"/>
                <w:szCs w:val="18"/>
                <w:lang w:val="fr-FR"/>
              </w:rPr>
              <w:t>Commentaires supplémentaires</w:t>
            </w:r>
          </w:p>
        </w:tc>
      </w:tr>
      <w:tr w:rsidR="00725770" w:rsidRPr="00E25667" w:rsidTr="00C60019">
        <w:tc>
          <w:tcPr>
            <w:tcW w:w="715" w:type="pct"/>
            <w:vMerge/>
          </w:tcPr>
          <w:p w:rsidR="002C55E7" w:rsidRPr="00C60019" w:rsidRDefault="002C55E7" w:rsidP="00055249">
            <w:pPr>
              <w:contextualSpacing/>
              <w:rPr>
                <w:b/>
                <w:sz w:val="18"/>
                <w:szCs w:val="18"/>
                <w:lang w:val="fr-FR"/>
              </w:rPr>
            </w:pPr>
          </w:p>
        </w:tc>
        <w:tc>
          <w:tcPr>
            <w:tcW w:w="1648" w:type="pct"/>
            <w:vMerge/>
          </w:tcPr>
          <w:p w:rsidR="002C55E7" w:rsidRPr="00C60019" w:rsidRDefault="002C55E7" w:rsidP="00055249">
            <w:pPr>
              <w:contextualSpacing/>
              <w:rPr>
                <w:b/>
                <w:sz w:val="18"/>
                <w:szCs w:val="18"/>
                <w:lang w:val="fr-FR"/>
              </w:rPr>
            </w:pPr>
          </w:p>
        </w:tc>
        <w:tc>
          <w:tcPr>
            <w:tcW w:w="206" w:type="pct"/>
            <w:shd w:val="clear" w:color="auto" w:fill="E5DFEC" w:themeFill="accent4" w:themeFillTint="33"/>
          </w:tcPr>
          <w:p w:rsidR="002C55E7" w:rsidRPr="00C60019" w:rsidRDefault="002C55E7" w:rsidP="00055249">
            <w:pPr>
              <w:contextualSpacing/>
              <w:rPr>
                <w:b/>
                <w:sz w:val="18"/>
                <w:szCs w:val="18"/>
                <w:lang w:val="fr-FR"/>
              </w:rPr>
            </w:pPr>
            <w:r w:rsidRPr="00C60019">
              <w:rPr>
                <w:b/>
                <w:sz w:val="18"/>
                <w:szCs w:val="18"/>
                <w:lang w:val="fr-FR"/>
              </w:rPr>
              <w:t>0</w:t>
            </w:r>
          </w:p>
        </w:tc>
        <w:tc>
          <w:tcPr>
            <w:tcW w:w="205" w:type="pct"/>
            <w:shd w:val="clear" w:color="auto" w:fill="E5DFEC" w:themeFill="accent4" w:themeFillTint="33"/>
          </w:tcPr>
          <w:p w:rsidR="002C55E7" w:rsidRPr="00C60019" w:rsidRDefault="002C55E7" w:rsidP="00055249">
            <w:pPr>
              <w:contextualSpacing/>
              <w:rPr>
                <w:b/>
                <w:sz w:val="18"/>
                <w:szCs w:val="18"/>
                <w:lang w:val="fr-FR"/>
              </w:rPr>
            </w:pPr>
            <w:r w:rsidRPr="00C60019">
              <w:rPr>
                <w:b/>
                <w:sz w:val="18"/>
                <w:szCs w:val="18"/>
                <w:lang w:val="fr-FR"/>
              </w:rPr>
              <w:t>1</w:t>
            </w:r>
          </w:p>
        </w:tc>
        <w:tc>
          <w:tcPr>
            <w:tcW w:w="171" w:type="pct"/>
            <w:shd w:val="clear" w:color="auto" w:fill="E5DFEC" w:themeFill="accent4" w:themeFillTint="33"/>
          </w:tcPr>
          <w:p w:rsidR="002C55E7" w:rsidRPr="00C60019" w:rsidRDefault="002C55E7" w:rsidP="00055249">
            <w:pPr>
              <w:contextualSpacing/>
              <w:rPr>
                <w:b/>
                <w:sz w:val="18"/>
                <w:szCs w:val="18"/>
                <w:lang w:val="fr-FR"/>
              </w:rPr>
            </w:pPr>
            <w:r w:rsidRPr="00C60019">
              <w:rPr>
                <w:b/>
                <w:sz w:val="18"/>
                <w:szCs w:val="18"/>
                <w:lang w:val="fr-FR"/>
              </w:rPr>
              <w:t>2</w:t>
            </w:r>
          </w:p>
        </w:tc>
        <w:tc>
          <w:tcPr>
            <w:tcW w:w="171" w:type="pct"/>
            <w:shd w:val="clear" w:color="auto" w:fill="E5DFEC" w:themeFill="accent4" w:themeFillTint="33"/>
          </w:tcPr>
          <w:p w:rsidR="002C55E7" w:rsidRPr="00C60019" w:rsidRDefault="002C55E7" w:rsidP="00055249">
            <w:pPr>
              <w:contextualSpacing/>
              <w:rPr>
                <w:b/>
                <w:sz w:val="18"/>
                <w:szCs w:val="18"/>
                <w:lang w:val="fr-FR"/>
              </w:rPr>
            </w:pPr>
            <w:r w:rsidRPr="00C60019">
              <w:rPr>
                <w:b/>
                <w:sz w:val="18"/>
                <w:szCs w:val="18"/>
                <w:lang w:val="fr-FR"/>
              </w:rPr>
              <w:t>3</w:t>
            </w:r>
          </w:p>
        </w:tc>
        <w:tc>
          <w:tcPr>
            <w:tcW w:w="193" w:type="pct"/>
            <w:shd w:val="clear" w:color="auto" w:fill="E5DFEC" w:themeFill="accent4" w:themeFillTint="33"/>
          </w:tcPr>
          <w:p w:rsidR="002C55E7" w:rsidRPr="00C60019" w:rsidRDefault="002C55E7" w:rsidP="00055249">
            <w:pPr>
              <w:contextualSpacing/>
              <w:rPr>
                <w:b/>
                <w:sz w:val="18"/>
                <w:szCs w:val="18"/>
                <w:lang w:val="fr-FR"/>
              </w:rPr>
            </w:pPr>
            <w:r w:rsidRPr="00C60019">
              <w:rPr>
                <w:b/>
                <w:sz w:val="18"/>
                <w:szCs w:val="18"/>
                <w:lang w:val="fr-FR"/>
              </w:rPr>
              <w:t>4</w:t>
            </w:r>
          </w:p>
        </w:tc>
        <w:tc>
          <w:tcPr>
            <w:tcW w:w="1691" w:type="pct"/>
            <w:vMerge/>
          </w:tcPr>
          <w:p w:rsidR="002C55E7" w:rsidRPr="00C60019" w:rsidRDefault="002C55E7" w:rsidP="00055249">
            <w:pPr>
              <w:contextualSpacing/>
              <w:rPr>
                <w:lang w:val="fr-FR"/>
              </w:rPr>
            </w:pPr>
          </w:p>
        </w:tc>
      </w:tr>
      <w:tr w:rsidR="003B08E6" w:rsidRPr="007C077B" w:rsidTr="00264930">
        <w:tc>
          <w:tcPr>
            <w:tcW w:w="715" w:type="pct"/>
          </w:tcPr>
          <w:p w:rsidR="00E25667" w:rsidRPr="00C60019" w:rsidRDefault="00CA35EF" w:rsidP="00CA35EF">
            <w:pPr>
              <w:contextualSpacing/>
              <w:rPr>
                <w:b/>
                <w:sz w:val="18"/>
                <w:szCs w:val="18"/>
                <w:lang w:val="fr-FR"/>
              </w:rPr>
            </w:pPr>
            <w:r w:rsidRPr="00C60019">
              <w:rPr>
                <w:b/>
                <w:sz w:val="18"/>
                <w:szCs w:val="18"/>
                <w:lang w:val="fr-FR"/>
              </w:rPr>
              <w:t>Travaux d'analyse de la Commission Européenne : «Evaluation de la gouvernance dans le secteur des transports"</w:t>
            </w:r>
          </w:p>
        </w:tc>
        <w:tc>
          <w:tcPr>
            <w:tcW w:w="1648" w:type="pct"/>
          </w:tcPr>
          <w:p w:rsidR="00264930" w:rsidRPr="00C60019" w:rsidRDefault="00CA35EF" w:rsidP="00C60019">
            <w:pPr>
              <w:spacing w:after="120"/>
              <w:contextualSpacing/>
              <w:rPr>
                <w:sz w:val="18"/>
                <w:szCs w:val="18"/>
                <w:lang w:val="fr-FR"/>
              </w:rPr>
            </w:pPr>
            <w:r w:rsidRPr="00C60019">
              <w:rPr>
                <w:sz w:val="18"/>
                <w:szCs w:val="18"/>
                <w:lang w:val="fr-FR"/>
              </w:rPr>
              <w:t>L'objectif de cette évaluation est de fournir des conseils et un soutien aux acteurs du secteur des transports dans les pays bénéficiaires</w:t>
            </w:r>
            <w:r w:rsidR="00273D9D" w:rsidRPr="00C60019">
              <w:rPr>
                <w:sz w:val="18"/>
                <w:szCs w:val="18"/>
                <w:lang w:val="fr-FR"/>
              </w:rPr>
              <w:t>,</w:t>
            </w:r>
            <w:r w:rsidRPr="00C60019">
              <w:rPr>
                <w:sz w:val="18"/>
                <w:szCs w:val="18"/>
                <w:lang w:val="fr-FR"/>
              </w:rPr>
              <w:t xml:space="preserve"> pour traiter des questions de gouvernance lors de la conception et / ou la mise en œuvre d'un projet / programme de transport. Elle s'appuie sur 12 travaux d’analyse conceptuelle et 5 documents de travail qui fournissent un aperçu complet de la gouvernance dans le secteur des transports en Afrique.</w:t>
            </w:r>
          </w:p>
          <w:p w:rsidR="00C60019" w:rsidRPr="00C60019" w:rsidRDefault="00C60019" w:rsidP="00D37F75">
            <w:pPr>
              <w:contextualSpacing/>
              <w:rPr>
                <w:sz w:val="18"/>
                <w:szCs w:val="18"/>
                <w:lang w:val="fr-FR"/>
              </w:rPr>
            </w:pPr>
          </w:p>
        </w:tc>
        <w:tc>
          <w:tcPr>
            <w:tcW w:w="206" w:type="pct"/>
          </w:tcPr>
          <w:p w:rsidR="00C60019" w:rsidRPr="00C60019" w:rsidRDefault="00C60019" w:rsidP="00055249">
            <w:pPr>
              <w:contextualSpacing/>
              <w:rPr>
                <w:lang w:val="fr-FR"/>
              </w:rPr>
            </w:pPr>
          </w:p>
        </w:tc>
        <w:tc>
          <w:tcPr>
            <w:tcW w:w="205" w:type="pct"/>
          </w:tcPr>
          <w:p w:rsidR="00E25667" w:rsidRPr="00C60019" w:rsidRDefault="00E25667" w:rsidP="00055249">
            <w:pPr>
              <w:contextualSpacing/>
              <w:rPr>
                <w:lang w:val="fr-FR"/>
              </w:rPr>
            </w:pPr>
          </w:p>
        </w:tc>
        <w:tc>
          <w:tcPr>
            <w:tcW w:w="171" w:type="pct"/>
          </w:tcPr>
          <w:p w:rsidR="00E25667" w:rsidRPr="00C60019" w:rsidRDefault="00E25667" w:rsidP="00055249">
            <w:pPr>
              <w:contextualSpacing/>
              <w:rPr>
                <w:lang w:val="fr-FR"/>
              </w:rPr>
            </w:pPr>
          </w:p>
        </w:tc>
        <w:tc>
          <w:tcPr>
            <w:tcW w:w="171" w:type="pct"/>
          </w:tcPr>
          <w:p w:rsidR="00E25667" w:rsidRPr="00C60019" w:rsidRDefault="00E25667" w:rsidP="00055249">
            <w:pPr>
              <w:contextualSpacing/>
              <w:rPr>
                <w:lang w:val="fr-FR"/>
              </w:rPr>
            </w:pPr>
          </w:p>
        </w:tc>
        <w:tc>
          <w:tcPr>
            <w:tcW w:w="193" w:type="pct"/>
          </w:tcPr>
          <w:p w:rsidR="00E25667" w:rsidRPr="00C60019" w:rsidRDefault="00E25667" w:rsidP="00055249">
            <w:pPr>
              <w:contextualSpacing/>
              <w:rPr>
                <w:lang w:val="fr-FR"/>
              </w:rPr>
            </w:pPr>
          </w:p>
        </w:tc>
        <w:tc>
          <w:tcPr>
            <w:tcW w:w="1691" w:type="pct"/>
          </w:tcPr>
          <w:p w:rsidR="00E25667" w:rsidRPr="00C60019" w:rsidRDefault="00E25667" w:rsidP="00055249">
            <w:pPr>
              <w:contextualSpacing/>
              <w:rPr>
                <w:lang w:val="fr-FR"/>
              </w:rPr>
            </w:pPr>
          </w:p>
        </w:tc>
      </w:tr>
      <w:tr w:rsidR="003B08E6" w:rsidRPr="007C077B" w:rsidTr="00264930">
        <w:tc>
          <w:tcPr>
            <w:tcW w:w="715" w:type="pct"/>
          </w:tcPr>
          <w:p w:rsidR="00E25667" w:rsidRPr="00C60019" w:rsidRDefault="0001109C" w:rsidP="0001109C">
            <w:pPr>
              <w:contextualSpacing/>
              <w:rPr>
                <w:sz w:val="18"/>
                <w:szCs w:val="18"/>
                <w:lang w:val="fr-FR"/>
              </w:rPr>
            </w:pPr>
            <w:r w:rsidRPr="00C60019">
              <w:rPr>
                <w:b/>
                <w:i/>
                <w:sz w:val="18"/>
                <w:szCs w:val="18"/>
                <w:lang w:val="fr-FR"/>
              </w:rPr>
              <w:t xml:space="preserve">Etude du </w:t>
            </w:r>
            <w:r w:rsidR="00F95B7E" w:rsidRPr="00C60019">
              <w:rPr>
                <w:b/>
                <w:i/>
                <w:sz w:val="18"/>
                <w:szCs w:val="18"/>
                <w:lang w:val="fr-FR"/>
              </w:rPr>
              <w:t>SSATP</w:t>
            </w:r>
            <w:r w:rsidR="00F95B7E" w:rsidRPr="00C60019">
              <w:rPr>
                <w:sz w:val="18"/>
                <w:szCs w:val="18"/>
                <w:lang w:val="fr-FR"/>
              </w:rPr>
              <w:t xml:space="preserve"> </w:t>
            </w:r>
            <w:r w:rsidRPr="00C60019">
              <w:rPr>
                <w:b/>
                <w:i/>
                <w:sz w:val="18"/>
                <w:szCs w:val="18"/>
                <w:lang w:val="fr-FR"/>
              </w:rPr>
              <w:t>Indicateurs de gouvernance dans le secteur des transports pour l'Afrique sub-saharienne</w:t>
            </w:r>
          </w:p>
        </w:tc>
        <w:tc>
          <w:tcPr>
            <w:tcW w:w="1648" w:type="pct"/>
          </w:tcPr>
          <w:p w:rsidR="00E25667" w:rsidRPr="00C60019" w:rsidRDefault="0001109C" w:rsidP="00D96FC8">
            <w:pPr>
              <w:contextualSpacing/>
              <w:rPr>
                <w:sz w:val="18"/>
                <w:szCs w:val="18"/>
                <w:lang w:val="fr-FR"/>
              </w:rPr>
            </w:pPr>
            <w:r w:rsidRPr="00C60019">
              <w:rPr>
                <w:sz w:val="18"/>
                <w:szCs w:val="18"/>
                <w:lang w:val="fr-FR"/>
              </w:rPr>
              <w:t xml:space="preserve">Le SSATP a récemment </w:t>
            </w:r>
            <w:r w:rsidR="00D37F75" w:rsidRPr="00C60019">
              <w:rPr>
                <w:sz w:val="18"/>
                <w:szCs w:val="18"/>
                <w:lang w:val="fr-FR"/>
              </w:rPr>
              <w:t>achevé</w:t>
            </w:r>
            <w:r w:rsidRPr="00C60019">
              <w:rPr>
                <w:sz w:val="18"/>
                <w:szCs w:val="18"/>
                <w:lang w:val="fr-FR"/>
              </w:rPr>
              <w:t xml:space="preserve"> une étude visant à identifier une série d'indicateurs facile</w:t>
            </w:r>
            <w:r w:rsidR="00D37F75" w:rsidRPr="00C60019">
              <w:rPr>
                <w:sz w:val="18"/>
                <w:szCs w:val="18"/>
                <w:lang w:val="fr-FR"/>
              </w:rPr>
              <w:t>s</w:t>
            </w:r>
            <w:r w:rsidR="00D96FC8" w:rsidRPr="00C60019">
              <w:rPr>
                <w:sz w:val="18"/>
                <w:szCs w:val="18"/>
                <w:lang w:val="fr-FR"/>
              </w:rPr>
              <w:t xml:space="preserve"> à </w:t>
            </w:r>
            <w:r w:rsidR="00D37F75" w:rsidRPr="00C60019">
              <w:rPr>
                <w:sz w:val="18"/>
                <w:szCs w:val="18"/>
                <w:lang w:val="fr-FR"/>
              </w:rPr>
              <w:t>collecter</w:t>
            </w:r>
            <w:r w:rsidR="00D96FC8" w:rsidRPr="00C60019">
              <w:rPr>
                <w:sz w:val="18"/>
                <w:szCs w:val="18"/>
                <w:lang w:val="fr-FR"/>
              </w:rPr>
              <w:t xml:space="preserve">, </w:t>
            </w:r>
            <w:r w:rsidRPr="00C60019">
              <w:rPr>
                <w:sz w:val="18"/>
                <w:szCs w:val="18"/>
                <w:lang w:val="fr-FR"/>
              </w:rPr>
              <w:t xml:space="preserve">pour mesurer la </w:t>
            </w:r>
            <w:r w:rsidR="00D96FC8" w:rsidRPr="00C60019">
              <w:rPr>
                <w:sz w:val="18"/>
                <w:szCs w:val="18"/>
                <w:lang w:val="fr-FR"/>
              </w:rPr>
              <w:t>performance de la gouvernance du secteur des</w:t>
            </w:r>
            <w:r w:rsidRPr="00C60019">
              <w:rPr>
                <w:sz w:val="18"/>
                <w:szCs w:val="18"/>
                <w:lang w:val="fr-FR"/>
              </w:rPr>
              <w:t xml:space="preserve"> transport</w:t>
            </w:r>
            <w:r w:rsidR="00D96FC8" w:rsidRPr="00C60019">
              <w:rPr>
                <w:sz w:val="18"/>
                <w:szCs w:val="18"/>
                <w:lang w:val="fr-FR"/>
              </w:rPr>
              <w:t>s</w:t>
            </w:r>
            <w:r w:rsidRPr="00C60019">
              <w:rPr>
                <w:sz w:val="18"/>
                <w:szCs w:val="18"/>
                <w:lang w:val="fr-FR"/>
              </w:rPr>
              <w:t xml:space="preserve"> au niveau national d'une maniè</w:t>
            </w:r>
            <w:r w:rsidR="00273D9D" w:rsidRPr="00C60019">
              <w:rPr>
                <w:sz w:val="18"/>
                <w:szCs w:val="18"/>
                <w:lang w:val="fr-FR"/>
              </w:rPr>
              <w:t xml:space="preserve">re efficace et systématique. L’objectif </w:t>
            </w:r>
            <w:r w:rsidRPr="00C60019">
              <w:rPr>
                <w:sz w:val="18"/>
                <w:szCs w:val="18"/>
                <w:lang w:val="fr-FR"/>
              </w:rPr>
              <w:t>de cette étude est non seulement de suivre les progrès dans le domaine de la gouvernance des transports en Afrique, mais aussi de favoriser un changement de politique et d'encourager les pays à intégrer ces indicateurs dans leurs cadres respectifs d'évaluation de la gouvernance.</w:t>
            </w:r>
          </w:p>
          <w:p w:rsidR="00264930" w:rsidRPr="00C60019" w:rsidRDefault="00264930" w:rsidP="00D96FC8">
            <w:pPr>
              <w:contextualSpacing/>
              <w:rPr>
                <w:sz w:val="18"/>
                <w:szCs w:val="18"/>
                <w:lang w:val="fr-FR"/>
              </w:rPr>
            </w:pPr>
          </w:p>
        </w:tc>
        <w:tc>
          <w:tcPr>
            <w:tcW w:w="206" w:type="pct"/>
          </w:tcPr>
          <w:p w:rsidR="00E25667" w:rsidRPr="00C60019" w:rsidRDefault="00E25667" w:rsidP="00055249">
            <w:pPr>
              <w:contextualSpacing/>
              <w:rPr>
                <w:lang w:val="fr-FR"/>
              </w:rPr>
            </w:pPr>
          </w:p>
        </w:tc>
        <w:tc>
          <w:tcPr>
            <w:tcW w:w="205" w:type="pct"/>
          </w:tcPr>
          <w:p w:rsidR="00E25667" w:rsidRPr="00C60019" w:rsidRDefault="00E25667" w:rsidP="00055249">
            <w:pPr>
              <w:contextualSpacing/>
              <w:rPr>
                <w:lang w:val="fr-FR"/>
              </w:rPr>
            </w:pPr>
          </w:p>
        </w:tc>
        <w:tc>
          <w:tcPr>
            <w:tcW w:w="171" w:type="pct"/>
          </w:tcPr>
          <w:p w:rsidR="00E25667" w:rsidRPr="00C60019" w:rsidRDefault="00E25667" w:rsidP="00055249">
            <w:pPr>
              <w:contextualSpacing/>
              <w:rPr>
                <w:lang w:val="fr-FR"/>
              </w:rPr>
            </w:pPr>
          </w:p>
        </w:tc>
        <w:tc>
          <w:tcPr>
            <w:tcW w:w="171" w:type="pct"/>
          </w:tcPr>
          <w:p w:rsidR="00E25667" w:rsidRPr="00C60019" w:rsidRDefault="00E25667" w:rsidP="00055249">
            <w:pPr>
              <w:contextualSpacing/>
              <w:rPr>
                <w:lang w:val="fr-FR"/>
              </w:rPr>
            </w:pPr>
          </w:p>
        </w:tc>
        <w:tc>
          <w:tcPr>
            <w:tcW w:w="193" w:type="pct"/>
          </w:tcPr>
          <w:p w:rsidR="00E25667" w:rsidRPr="00C60019" w:rsidRDefault="00E25667" w:rsidP="00055249">
            <w:pPr>
              <w:contextualSpacing/>
              <w:rPr>
                <w:lang w:val="fr-FR"/>
              </w:rPr>
            </w:pPr>
          </w:p>
        </w:tc>
        <w:tc>
          <w:tcPr>
            <w:tcW w:w="1691" w:type="pct"/>
          </w:tcPr>
          <w:p w:rsidR="00E25667" w:rsidRPr="00C60019" w:rsidRDefault="00E25667" w:rsidP="00055249">
            <w:pPr>
              <w:contextualSpacing/>
              <w:rPr>
                <w:lang w:val="fr-FR"/>
              </w:rPr>
            </w:pPr>
          </w:p>
        </w:tc>
      </w:tr>
    </w:tbl>
    <w:p w:rsidR="00C60019" w:rsidRDefault="00C60019" w:rsidP="00055249">
      <w:pPr>
        <w:spacing w:line="240" w:lineRule="auto"/>
        <w:ind w:left="720" w:firstLine="720"/>
        <w:rPr>
          <w:b/>
          <w:i/>
          <w:lang w:val="fr-FR"/>
        </w:rPr>
        <w:sectPr w:rsidR="00C60019" w:rsidSect="00087517">
          <w:pgSz w:w="15840" w:h="12240" w:orient="landscape"/>
          <w:pgMar w:top="1440" w:right="1440" w:bottom="1440" w:left="1440" w:header="720" w:footer="720" w:gutter="0"/>
          <w:cols w:space="720"/>
          <w:docGrid w:linePitch="360"/>
        </w:sectPr>
      </w:pPr>
    </w:p>
    <w:p w:rsidR="00AA678D" w:rsidRPr="002A0AA5" w:rsidRDefault="00273D9D" w:rsidP="00C60019">
      <w:pPr>
        <w:spacing w:line="240" w:lineRule="auto"/>
        <w:ind w:left="720" w:hanging="720"/>
        <w:rPr>
          <w:b/>
          <w:i/>
          <w:sz w:val="24"/>
          <w:szCs w:val="24"/>
          <w:lang w:val="fr-FR"/>
        </w:rPr>
      </w:pPr>
      <w:r w:rsidRPr="002A0AA5">
        <w:rPr>
          <w:b/>
          <w:i/>
          <w:sz w:val="24"/>
          <w:szCs w:val="24"/>
          <w:lang w:val="fr-FR"/>
        </w:rPr>
        <w:lastRenderedPageBreak/>
        <w:t>M</w:t>
      </w:r>
      <w:r w:rsidR="007350D1" w:rsidRPr="002A0AA5">
        <w:rPr>
          <w:b/>
          <w:i/>
          <w:sz w:val="24"/>
          <w:szCs w:val="24"/>
          <w:lang w:val="fr-FR"/>
        </w:rPr>
        <w:t xml:space="preserve">ise en </w:t>
      </w:r>
      <w:r w:rsidR="002A0AA5" w:rsidRPr="002A0AA5">
        <w:rPr>
          <w:b/>
          <w:i/>
          <w:sz w:val="24"/>
          <w:szCs w:val="24"/>
          <w:lang w:val="fr-FR"/>
        </w:rPr>
        <w:t>œuvre</w:t>
      </w:r>
    </w:p>
    <w:tbl>
      <w:tblPr>
        <w:tblStyle w:val="TableGrid"/>
        <w:tblW w:w="5000" w:type="pct"/>
        <w:tblLayout w:type="fixed"/>
        <w:tblLook w:val="04A0" w:firstRow="1" w:lastRow="0" w:firstColumn="1" w:lastColumn="0" w:noHBand="0" w:noVBand="1"/>
      </w:tblPr>
      <w:tblGrid>
        <w:gridCol w:w="1908"/>
        <w:gridCol w:w="4319"/>
        <w:gridCol w:w="540"/>
        <w:gridCol w:w="540"/>
        <w:gridCol w:w="451"/>
        <w:gridCol w:w="451"/>
        <w:gridCol w:w="540"/>
        <w:gridCol w:w="4427"/>
      </w:tblGrid>
      <w:tr w:rsidR="007350D1" w:rsidRPr="002A0AA5" w:rsidTr="00C60019">
        <w:tc>
          <w:tcPr>
            <w:tcW w:w="724" w:type="pct"/>
            <w:vMerge w:val="restart"/>
            <w:shd w:val="clear" w:color="auto" w:fill="E5DFEC" w:themeFill="accent4" w:themeFillTint="33"/>
            <w:vAlign w:val="center"/>
          </w:tcPr>
          <w:p w:rsidR="007350D1" w:rsidRPr="002A0AA5" w:rsidRDefault="007350D1" w:rsidP="00264930">
            <w:pPr>
              <w:contextualSpacing/>
              <w:jc w:val="center"/>
              <w:rPr>
                <w:b/>
                <w:i/>
                <w:sz w:val="18"/>
                <w:szCs w:val="18"/>
                <w:lang w:val="fr-FR"/>
              </w:rPr>
            </w:pPr>
            <w:r w:rsidRPr="002A0AA5">
              <w:rPr>
                <w:b/>
                <w:i/>
                <w:sz w:val="18"/>
                <w:szCs w:val="18"/>
                <w:lang w:val="fr-FR"/>
              </w:rPr>
              <w:t>Titre de la session</w:t>
            </w:r>
          </w:p>
        </w:tc>
        <w:tc>
          <w:tcPr>
            <w:tcW w:w="1639" w:type="pct"/>
            <w:vMerge w:val="restart"/>
            <w:shd w:val="clear" w:color="auto" w:fill="E5DFEC" w:themeFill="accent4" w:themeFillTint="33"/>
            <w:vAlign w:val="center"/>
          </w:tcPr>
          <w:p w:rsidR="007350D1" w:rsidRPr="002A0AA5" w:rsidRDefault="007350D1" w:rsidP="00264930">
            <w:pPr>
              <w:contextualSpacing/>
              <w:jc w:val="center"/>
              <w:rPr>
                <w:b/>
                <w:i/>
                <w:sz w:val="18"/>
                <w:szCs w:val="18"/>
                <w:lang w:val="fr-FR"/>
              </w:rPr>
            </w:pPr>
            <w:r w:rsidRPr="002A0AA5">
              <w:rPr>
                <w:b/>
                <w:i/>
                <w:sz w:val="18"/>
                <w:szCs w:val="18"/>
                <w:lang w:val="fr-FR"/>
              </w:rPr>
              <w:t>Description</w:t>
            </w:r>
          </w:p>
        </w:tc>
        <w:tc>
          <w:tcPr>
            <w:tcW w:w="957" w:type="pct"/>
            <w:gridSpan w:val="5"/>
            <w:shd w:val="clear" w:color="auto" w:fill="E5DFEC" w:themeFill="accent4" w:themeFillTint="33"/>
            <w:vAlign w:val="center"/>
          </w:tcPr>
          <w:p w:rsidR="007350D1" w:rsidRPr="002A0AA5" w:rsidRDefault="007350D1" w:rsidP="00264930">
            <w:pPr>
              <w:contextualSpacing/>
              <w:jc w:val="center"/>
              <w:rPr>
                <w:b/>
                <w:i/>
                <w:sz w:val="18"/>
                <w:szCs w:val="18"/>
                <w:lang w:val="fr-FR"/>
              </w:rPr>
            </w:pPr>
            <w:r w:rsidRPr="002A0AA5">
              <w:rPr>
                <w:b/>
                <w:i/>
                <w:sz w:val="18"/>
                <w:szCs w:val="18"/>
                <w:lang w:val="fr-FR"/>
              </w:rPr>
              <w:t>Comment classeriez-vous la séance? (Importance / pertinence du sujet)</w:t>
            </w:r>
          </w:p>
          <w:p w:rsidR="00C60019" w:rsidRPr="002A0AA5" w:rsidRDefault="00C60019" w:rsidP="00264930">
            <w:pPr>
              <w:contextualSpacing/>
              <w:jc w:val="center"/>
              <w:rPr>
                <w:b/>
                <w:i/>
                <w:sz w:val="18"/>
                <w:szCs w:val="18"/>
                <w:lang w:val="fr-FR"/>
              </w:rPr>
            </w:pPr>
          </w:p>
        </w:tc>
        <w:tc>
          <w:tcPr>
            <w:tcW w:w="1680" w:type="pct"/>
            <w:vMerge w:val="restart"/>
            <w:shd w:val="clear" w:color="auto" w:fill="E5DFEC" w:themeFill="accent4" w:themeFillTint="33"/>
            <w:vAlign w:val="center"/>
          </w:tcPr>
          <w:p w:rsidR="007350D1" w:rsidRPr="002A0AA5" w:rsidRDefault="007350D1" w:rsidP="00264930">
            <w:pPr>
              <w:contextualSpacing/>
              <w:jc w:val="center"/>
              <w:rPr>
                <w:b/>
                <w:i/>
                <w:sz w:val="18"/>
                <w:szCs w:val="18"/>
                <w:lang w:val="fr-FR"/>
              </w:rPr>
            </w:pPr>
            <w:r w:rsidRPr="002A0AA5">
              <w:rPr>
                <w:b/>
                <w:i/>
                <w:sz w:val="18"/>
                <w:szCs w:val="18"/>
                <w:lang w:val="fr-FR"/>
              </w:rPr>
              <w:t>Commentaires supplémentaires</w:t>
            </w:r>
          </w:p>
        </w:tc>
      </w:tr>
      <w:tr w:rsidR="00DB7FA5" w:rsidRPr="002A0AA5" w:rsidTr="00C60019">
        <w:trPr>
          <w:trHeight w:val="70"/>
        </w:trPr>
        <w:tc>
          <w:tcPr>
            <w:tcW w:w="724" w:type="pct"/>
            <w:vMerge/>
          </w:tcPr>
          <w:p w:rsidR="002C55E7" w:rsidRPr="002A0AA5" w:rsidRDefault="002C55E7" w:rsidP="00847E7F">
            <w:pPr>
              <w:contextualSpacing/>
              <w:rPr>
                <w:b/>
                <w:sz w:val="18"/>
                <w:szCs w:val="18"/>
                <w:lang w:val="fr-FR"/>
              </w:rPr>
            </w:pPr>
          </w:p>
        </w:tc>
        <w:tc>
          <w:tcPr>
            <w:tcW w:w="1639" w:type="pct"/>
            <w:vMerge/>
          </w:tcPr>
          <w:p w:rsidR="002C55E7" w:rsidRPr="002A0AA5" w:rsidRDefault="002C55E7" w:rsidP="00847E7F">
            <w:pPr>
              <w:contextualSpacing/>
              <w:rPr>
                <w:b/>
                <w:sz w:val="18"/>
                <w:szCs w:val="18"/>
                <w:lang w:val="fr-FR"/>
              </w:rPr>
            </w:pP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0</w:t>
            </w: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1</w:t>
            </w:r>
          </w:p>
        </w:tc>
        <w:tc>
          <w:tcPr>
            <w:tcW w:w="171"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2</w:t>
            </w:r>
          </w:p>
        </w:tc>
        <w:tc>
          <w:tcPr>
            <w:tcW w:w="171"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3</w:t>
            </w: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4</w:t>
            </w:r>
          </w:p>
        </w:tc>
        <w:tc>
          <w:tcPr>
            <w:tcW w:w="1680" w:type="pct"/>
            <w:vMerge/>
            <w:shd w:val="clear" w:color="auto" w:fill="EEECE1" w:themeFill="background2"/>
          </w:tcPr>
          <w:p w:rsidR="002C55E7" w:rsidRPr="002A0AA5" w:rsidRDefault="002C55E7" w:rsidP="00847E7F">
            <w:pPr>
              <w:contextualSpacing/>
              <w:rPr>
                <w:sz w:val="18"/>
                <w:szCs w:val="18"/>
                <w:lang w:val="fr-FR"/>
              </w:rPr>
            </w:pPr>
          </w:p>
        </w:tc>
      </w:tr>
      <w:tr w:rsidR="00725770" w:rsidRPr="007C077B" w:rsidTr="00725770">
        <w:tc>
          <w:tcPr>
            <w:tcW w:w="724" w:type="pct"/>
          </w:tcPr>
          <w:p w:rsidR="00F95B7E" w:rsidRPr="002A0AA5" w:rsidRDefault="00D96FC8" w:rsidP="00A231BA">
            <w:pPr>
              <w:contextualSpacing/>
              <w:rPr>
                <w:sz w:val="18"/>
                <w:szCs w:val="18"/>
                <w:lang w:val="fr-FR"/>
              </w:rPr>
            </w:pPr>
            <w:r w:rsidRPr="002A0AA5">
              <w:rPr>
                <w:b/>
                <w:sz w:val="18"/>
                <w:szCs w:val="18"/>
                <w:lang w:val="fr-FR"/>
              </w:rPr>
              <w:t xml:space="preserve">Exploiter le potentiel de la gestion électronique des </w:t>
            </w:r>
            <w:r w:rsidR="00A231BA" w:rsidRPr="002A0AA5">
              <w:rPr>
                <w:b/>
                <w:sz w:val="18"/>
                <w:szCs w:val="18"/>
                <w:lang w:val="fr-FR"/>
              </w:rPr>
              <w:t xml:space="preserve">achats </w:t>
            </w:r>
            <w:r w:rsidRPr="002A0AA5">
              <w:rPr>
                <w:b/>
                <w:sz w:val="18"/>
                <w:szCs w:val="18"/>
                <w:lang w:val="fr-FR"/>
              </w:rPr>
              <w:t>(« e-procurement »).</w:t>
            </w:r>
          </w:p>
        </w:tc>
        <w:tc>
          <w:tcPr>
            <w:tcW w:w="1639" w:type="pct"/>
          </w:tcPr>
          <w:p w:rsidR="00A231BA" w:rsidRPr="002A0AA5" w:rsidRDefault="00A231BA" w:rsidP="00A231BA">
            <w:pPr>
              <w:rPr>
                <w:sz w:val="18"/>
                <w:szCs w:val="18"/>
                <w:lang w:val="fr-FR"/>
              </w:rPr>
            </w:pPr>
            <w:r w:rsidRPr="002A0AA5">
              <w:rPr>
                <w:sz w:val="18"/>
                <w:szCs w:val="18"/>
                <w:lang w:val="fr-FR"/>
              </w:rPr>
              <w:t>La session comprendra une présentati</w:t>
            </w:r>
            <w:r w:rsidR="00273D9D" w:rsidRPr="002A0AA5">
              <w:rPr>
                <w:sz w:val="18"/>
                <w:szCs w:val="18"/>
                <w:lang w:val="fr-FR"/>
              </w:rPr>
              <w:t xml:space="preserve">on du </w:t>
            </w:r>
            <w:r w:rsidR="00273D9D" w:rsidRPr="002A0AA5">
              <w:rPr>
                <w:i/>
                <w:sz w:val="18"/>
                <w:szCs w:val="18"/>
                <w:lang w:val="fr-FR"/>
              </w:rPr>
              <w:t>Guide de référence de la gestion é</w:t>
            </w:r>
            <w:r w:rsidRPr="002A0AA5">
              <w:rPr>
                <w:i/>
                <w:sz w:val="18"/>
                <w:szCs w:val="18"/>
                <w:lang w:val="fr-FR"/>
              </w:rPr>
              <w:t>lect</w:t>
            </w:r>
            <w:r w:rsidR="00273D9D" w:rsidRPr="002A0AA5">
              <w:rPr>
                <w:i/>
                <w:sz w:val="18"/>
                <w:szCs w:val="18"/>
                <w:lang w:val="fr-FR"/>
              </w:rPr>
              <w:t>ronique des a</w:t>
            </w:r>
            <w:r w:rsidRPr="002A0AA5">
              <w:rPr>
                <w:i/>
                <w:sz w:val="18"/>
                <w:szCs w:val="18"/>
                <w:lang w:val="fr-FR"/>
              </w:rPr>
              <w:t>chats</w:t>
            </w:r>
            <w:r w:rsidRPr="002A0AA5">
              <w:rPr>
                <w:sz w:val="18"/>
                <w:szCs w:val="18"/>
                <w:lang w:val="fr-FR"/>
              </w:rPr>
              <w:t>, la présentation de quelques exemples de projets de transport de la Banque mondiale qui ont eu recours à la gestion électronique des marchés publics, en offrant un point de vue sur la façon dont celle-ci peut contribuer à la transparence et l'efficacité des projets de transport en Afrique.</w:t>
            </w:r>
          </w:p>
          <w:p w:rsidR="00264930" w:rsidRPr="002A0AA5" w:rsidRDefault="00A231BA" w:rsidP="003C4819">
            <w:pPr>
              <w:rPr>
                <w:sz w:val="18"/>
                <w:szCs w:val="18"/>
                <w:lang w:val="fr-FR"/>
              </w:rPr>
            </w:pPr>
            <w:r w:rsidRPr="002A0AA5">
              <w:rPr>
                <w:sz w:val="18"/>
                <w:szCs w:val="18"/>
                <w:lang w:val="fr-FR"/>
              </w:rPr>
              <w:t xml:space="preserve">La gestion électronique des achats, ou e-procurement (e-GP), est l'acquisition de biens, travaux et services par le biais des technologies de l'information basées sur internet. Son utilisation se développe actuellement dans le monde </w:t>
            </w:r>
            <w:r w:rsidR="00311722" w:rsidRPr="002A0AA5">
              <w:rPr>
                <w:sz w:val="18"/>
                <w:szCs w:val="18"/>
                <w:lang w:val="fr-FR"/>
              </w:rPr>
              <w:t xml:space="preserve">entier et offre </w:t>
            </w:r>
            <w:r w:rsidRPr="002A0AA5">
              <w:rPr>
                <w:sz w:val="18"/>
                <w:szCs w:val="18"/>
                <w:lang w:val="fr-FR"/>
              </w:rPr>
              <w:t xml:space="preserve">la possibilité de conduire </w:t>
            </w:r>
            <w:r w:rsidR="00311722" w:rsidRPr="002A0AA5">
              <w:rPr>
                <w:sz w:val="18"/>
                <w:szCs w:val="18"/>
                <w:lang w:val="fr-FR"/>
              </w:rPr>
              <w:t xml:space="preserve">une </w:t>
            </w:r>
            <w:r w:rsidRPr="002A0AA5">
              <w:rPr>
                <w:sz w:val="18"/>
                <w:szCs w:val="18"/>
                <w:lang w:val="fr-FR"/>
              </w:rPr>
              <w:t xml:space="preserve">réforme des marchés, accroître la concurrence et promouvoir l'intégrité </w:t>
            </w:r>
            <w:r w:rsidR="00311722" w:rsidRPr="002A0AA5">
              <w:rPr>
                <w:sz w:val="18"/>
                <w:szCs w:val="18"/>
                <w:lang w:val="fr-FR"/>
              </w:rPr>
              <w:t>au sein des marchés publics. Lorsqu'elle</w:t>
            </w:r>
            <w:r w:rsidRPr="002A0AA5">
              <w:rPr>
                <w:sz w:val="18"/>
                <w:szCs w:val="18"/>
                <w:lang w:val="fr-FR"/>
              </w:rPr>
              <w:t xml:space="preserve"> est correctement conçu</w:t>
            </w:r>
            <w:r w:rsidR="00311722" w:rsidRPr="002A0AA5">
              <w:rPr>
                <w:sz w:val="18"/>
                <w:szCs w:val="18"/>
                <w:lang w:val="fr-FR"/>
              </w:rPr>
              <w:t>e</w:t>
            </w:r>
            <w:r w:rsidRPr="002A0AA5">
              <w:rPr>
                <w:sz w:val="18"/>
                <w:szCs w:val="18"/>
                <w:lang w:val="fr-FR"/>
              </w:rPr>
              <w:t xml:space="preserve">, </w:t>
            </w:r>
            <w:r w:rsidR="00311722" w:rsidRPr="002A0AA5">
              <w:rPr>
                <w:sz w:val="18"/>
                <w:szCs w:val="18"/>
                <w:lang w:val="fr-FR"/>
              </w:rPr>
              <w:t xml:space="preserve">elle </w:t>
            </w:r>
            <w:r w:rsidRPr="002A0AA5">
              <w:rPr>
                <w:sz w:val="18"/>
                <w:szCs w:val="18"/>
                <w:lang w:val="fr-FR"/>
              </w:rPr>
              <w:t>peut réduire considérablement les coûts, faciliter l'accessibilité de l'information et réduire les possibilités de corruption.</w:t>
            </w:r>
          </w:p>
          <w:p w:rsidR="00C60019" w:rsidRPr="002A0AA5" w:rsidRDefault="00C60019" w:rsidP="003C4819">
            <w:pPr>
              <w:rPr>
                <w:sz w:val="18"/>
                <w:szCs w:val="18"/>
                <w:lang w:val="fr-FR"/>
              </w:rPr>
            </w:pPr>
          </w:p>
        </w:tc>
        <w:tc>
          <w:tcPr>
            <w:tcW w:w="205" w:type="pct"/>
          </w:tcPr>
          <w:p w:rsidR="00F95B7E" w:rsidRPr="002A0AA5" w:rsidRDefault="00F95B7E" w:rsidP="00847E7F">
            <w:pPr>
              <w:contextualSpacing/>
              <w:rPr>
                <w:sz w:val="18"/>
                <w:szCs w:val="18"/>
                <w:lang w:val="fr-FR"/>
              </w:rPr>
            </w:pPr>
          </w:p>
        </w:tc>
        <w:tc>
          <w:tcPr>
            <w:tcW w:w="205" w:type="pct"/>
          </w:tcPr>
          <w:p w:rsidR="00F95B7E" w:rsidRPr="002A0AA5" w:rsidRDefault="00F95B7E" w:rsidP="00847E7F">
            <w:pPr>
              <w:contextualSpacing/>
              <w:rPr>
                <w:sz w:val="18"/>
                <w:szCs w:val="18"/>
                <w:lang w:val="fr-FR"/>
              </w:rPr>
            </w:pPr>
          </w:p>
        </w:tc>
        <w:tc>
          <w:tcPr>
            <w:tcW w:w="171" w:type="pct"/>
          </w:tcPr>
          <w:p w:rsidR="00F95B7E" w:rsidRPr="002A0AA5" w:rsidRDefault="00F95B7E" w:rsidP="00847E7F">
            <w:pPr>
              <w:contextualSpacing/>
              <w:rPr>
                <w:sz w:val="18"/>
                <w:szCs w:val="18"/>
                <w:lang w:val="fr-FR"/>
              </w:rPr>
            </w:pPr>
          </w:p>
        </w:tc>
        <w:tc>
          <w:tcPr>
            <w:tcW w:w="171" w:type="pct"/>
          </w:tcPr>
          <w:p w:rsidR="00F95B7E" w:rsidRPr="002A0AA5" w:rsidRDefault="00F95B7E" w:rsidP="00847E7F">
            <w:pPr>
              <w:contextualSpacing/>
              <w:rPr>
                <w:sz w:val="18"/>
                <w:szCs w:val="18"/>
                <w:lang w:val="fr-FR"/>
              </w:rPr>
            </w:pPr>
          </w:p>
        </w:tc>
        <w:tc>
          <w:tcPr>
            <w:tcW w:w="205" w:type="pct"/>
          </w:tcPr>
          <w:p w:rsidR="00F95B7E" w:rsidRPr="002A0AA5" w:rsidRDefault="00F95B7E" w:rsidP="00847E7F">
            <w:pPr>
              <w:contextualSpacing/>
              <w:rPr>
                <w:sz w:val="18"/>
                <w:szCs w:val="18"/>
                <w:lang w:val="fr-FR"/>
              </w:rPr>
            </w:pPr>
          </w:p>
        </w:tc>
        <w:tc>
          <w:tcPr>
            <w:tcW w:w="1680" w:type="pct"/>
          </w:tcPr>
          <w:p w:rsidR="00F95B7E" w:rsidRPr="002A0AA5" w:rsidRDefault="00F95B7E" w:rsidP="00847E7F">
            <w:pPr>
              <w:contextualSpacing/>
              <w:rPr>
                <w:sz w:val="18"/>
                <w:szCs w:val="18"/>
                <w:lang w:val="fr-FR"/>
              </w:rPr>
            </w:pPr>
          </w:p>
        </w:tc>
      </w:tr>
    </w:tbl>
    <w:p w:rsidR="002A0AA5" w:rsidRDefault="002A0AA5" w:rsidP="00C120BD">
      <w:pPr>
        <w:contextualSpacing/>
        <w:rPr>
          <w:b/>
          <w:sz w:val="18"/>
          <w:szCs w:val="18"/>
          <w:lang w:val="fr-FR"/>
        </w:rPr>
        <w:sectPr w:rsidR="002A0AA5" w:rsidSect="00087517">
          <w:pgSz w:w="15840" w:h="12240" w:orient="landscape"/>
          <w:pgMar w:top="1440" w:right="1440" w:bottom="1440" w:left="144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1908"/>
        <w:gridCol w:w="4319"/>
        <w:gridCol w:w="540"/>
        <w:gridCol w:w="540"/>
        <w:gridCol w:w="451"/>
        <w:gridCol w:w="451"/>
        <w:gridCol w:w="540"/>
        <w:gridCol w:w="4427"/>
      </w:tblGrid>
      <w:tr w:rsidR="002A0AA5" w:rsidRPr="003C4819" w:rsidTr="00DB7FA5">
        <w:trPr>
          <w:trHeight w:val="890"/>
        </w:trPr>
        <w:tc>
          <w:tcPr>
            <w:tcW w:w="724" w:type="pct"/>
            <w:vMerge w:val="restart"/>
          </w:tcPr>
          <w:p w:rsidR="002A0AA5" w:rsidRPr="00311722" w:rsidRDefault="002A0AA5" w:rsidP="00C120BD">
            <w:pPr>
              <w:contextualSpacing/>
              <w:rPr>
                <w:sz w:val="18"/>
                <w:szCs w:val="18"/>
                <w:lang w:val="fr-FR"/>
              </w:rPr>
            </w:pPr>
            <w:r>
              <w:rPr>
                <w:b/>
                <w:sz w:val="18"/>
                <w:szCs w:val="18"/>
                <w:lang w:val="fr-FR"/>
              </w:rPr>
              <w:lastRenderedPageBreak/>
              <w:t>Améliorer</w:t>
            </w:r>
            <w:r w:rsidRPr="00311722">
              <w:rPr>
                <w:b/>
                <w:sz w:val="18"/>
                <w:szCs w:val="18"/>
                <w:lang w:val="fr-FR"/>
              </w:rPr>
              <w:t xml:space="preserve"> transparence e</w:t>
            </w:r>
            <w:r>
              <w:rPr>
                <w:b/>
                <w:sz w:val="18"/>
                <w:szCs w:val="18"/>
                <w:lang w:val="fr-FR"/>
              </w:rPr>
              <w:t>t responsabilisation : pour d</w:t>
            </w:r>
            <w:r w:rsidRPr="00311722">
              <w:rPr>
                <w:b/>
                <w:sz w:val="18"/>
                <w:szCs w:val="18"/>
                <w:lang w:val="fr-FR"/>
              </w:rPr>
              <w:t>es projets de transport plus rentables</w:t>
            </w:r>
            <w:r>
              <w:rPr>
                <w:b/>
                <w:sz w:val="18"/>
                <w:szCs w:val="18"/>
                <w:lang w:val="fr-FR"/>
              </w:rPr>
              <w:t>.</w:t>
            </w:r>
          </w:p>
        </w:tc>
        <w:tc>
          <w:tcPr>
            <w:tcW w:w="4276" w:type="pct"/>
            <w:gridSpan w:val="7"/>
          </w:tcPr>
          <w:p w:rsidR="002A0AA5" w:rsidRPr="002A0AA5" w:rsidRDefault="002A0AA5" w:rsidP="003C4819">
            <w:pPr>
              <w:ind w:left="-18"/>
              <w:contextualSpacing/>
              <w:rPr>
                <w:sz w:val="18"/>
                <w:szCs w:val="18"/>
                <w:lang w:val="fr-FR"/>
              </w:rPr>
            </w:pPr>
            <w:r w:rsidRPr="002A0AA5">
              <w:rPr>
                <w:sz w:val="18"/>
                <w:szCs w:val="18"/>
                <w:lang w:val="fr-FR"/>
              </w:rPr>
              <w:t>Cette session se penchera sur les moyens novateurs de lutte contre la corruption et de renforcement de la responsabilité, dans le but d’améliorer la gestion des coûts et la transparence des projets de transport. Deux exemples peuvent être envisagés</w:t>
            </w:r>
            <w:r>
              <w:rPr>
                <w:sz w:val="18"/>
                <w:szCs w:val="18"/>
                <w:lang w:val="fr-FR"/>
              </w:rPr>
              <w:t>:</w:t>
            </w:r>
          </w:p>
        </w:tc>
      </w:tr>
      <w:tr w:rsidR="002A0AA5" w:rsidRPr="007C077B" w:rsidTr="00725770">
        <w:trPr>
          <w:cantSplit/>
        </w:trPr>
        <w:tc>
          <w:tcPr>
            <w:tcW w:w="724" w:type="pct"/>
            <w:vMerge/>
          </w:tcPr>
          <w:p w:rsidR="002A0AA5" w:rsidRPr="009C0EE7" w:rsidRDefault="002A0AA5" w:rsidP="00847E7F">
            <w:pPr>
              <w:contextualSpacing/>
              <w:rPr>
                <w:sz w:val="18"/>
                <w:szCs w:val="18"/>
                <w:lang w:val="fr-FR"/>
              </w:rPr>
            </w:pPr>
          </w:p>
        </w:tc>
        <w:tc>
          <w:tcPr>
            <w:tcW w:w="1639" w:type="pct"/>
          </w:tcPr>
          <w:p w:rsidR="002A0AA5" w:rsidRDefault="002A0AA5" w:rsidP="003C4819">
            <w:pPr>
              <w:rPr>
                <w:sz w:val="18"/>
                <w:szCs w:val="18"/>
                <w:lang w:val="fr-FR"/>
              </w:rPr>
            </w:pPr>
            <w:r w:rsidRPr="00CB5763">
              <w:rPr>
                <w:b/>
                <w:sz w:val="18"/>
                <w:szCs w:val="18"/>
                <w:lang w:val="fr-FR"/>
              </w:rPr>
              <w:t xml:space="preserve">Rapport </w:t>
            </w:r>
            <w:r>
              <w:rPr>
                <w:b/>
                <w:sz w:val="18"/>
                <w:szCs w:val="18"/>
                <w:lang w:val="fr-FR"/>
              </w:rPr>
              <w:t>d</w:t>
            </w:r>
            <w:r w:rsidRPr="00CB5763">
              <w:rPr>
                <w:b/>
                <w:sz w:val="18"/>
                <w:szCs w:val="18"/>
                <w:lang w:val="fr-FR"/>
              </w:rPr>
              <w:t xml:space="preserve">’étude de </w:t>
            </w:r>
            <w:r>
              <w:rPr>
                <w:b/>
                <w:sz w:val="18"/>
                <w:szCs w:val="18"/>
                <w:lang w:val="fr-FR"/>
              </w:rPr>
              <w:t>référence</w:t>
            </w:r>
            <w:r w:rsidRPr="00CB5763">
              <w:rPr>
                <w:b/>
                <w:sz w:val="18"/>
                <w:szCs w:val="18"/>
                <w:lang w:val="fr-FR"/>
              </w:rPr>
              <w:t xml:space="preserve"> CoST</w:t>
            </w:r>
            <w:r>
              <w:rPr>
                <w:b/>
                <w:sz w:val="18"/>
                <w:szCs w:val="18"/>
                <w:lang w:val="fr-FR"/>
              </w:rPr>
              <w:t xml:space="preserve"> en </w:t>
            </w:r>
            <w:r w:rsidRPr="00CB5763">
              <w:rPr>
                <w:b/>
                <w:sz w:val="18"/>
                <w:szCs w:val="18"/>
                <w:lang w:val="fr-FR"/>
              </w:rPr>
              <w:t>Zambie</w:t>
            </w:r>
            <w:r w:rsidRPr="00CB5763">
              <w:rPr>
                <w:sz w:val="18"/>
                <w:szCs w:val="18"/>
                <w:lang w:val="fr-FR"/>
              </w:rPr>
              <w:t xml:space="preserve">: </w:t>
            </w:r>
            <w:r>
              <w:rPr>
                <w:sz w:val="18"/>
                <w:szCs w:val="18"/>
                <w:lang w:val="fr-FR"/>
              </w:rPr>
              <w:t>L’i</w:t>
            </w:r>
            <w:r w:rsidRPr="00CB5763">
              <w:rPr>
                <w:sz w:val="18"/>
                <w:szCs w:val="18"/>
                <w:lang w:val="fr-FR"/>
              </w:rPr>
              <w:t>nitiative pour la Transpare</w:t>
            </w:r>
            <w:r>
              <w:rPr>
                <w:sz w:val="18"/>
                <w:szCs w:val="18"/>
                <w:lang w:val="fr-FR"/>
              </w:rPr>
              <w:t>nce du s</w:t>
            </w:r>
            <w:r w:rsidRPr="00CB5763">
              <w:rPr>
                <w:sz w:val="18"/>
                <w:szCs w:val="18"/>
                <w:lang w:val="fr-FR"/>
              </w:rPr>
              <w:t xml:space="preserve">ecteur de la </w:t>
            </w:r>
            <w:r>
              <w:rPr>
                <w:sz w:val="18"/>
                <w:szCs w:val="18"/>
                <w:lang w:val="fr-FR"/>
              </w:rPr>
              <w:t>c</w:t>
            </w:r>
            <w:r w:rsidRPr="00CB5763">
              <w:rPr>
                <w:sz w:val="18"/>
                <w:szCs w:val="18"/>
                <w:lang w:val="fr-FR"/>
              </w:rPr>
              <w:t>onstruction (</w:t>
            </w:r>
            <w:r>
              <w:rPr>
                <w:sz w:val="18"/>
                <w:szCs w:val="18"/>
                <w:lang w:val="fr-FR"/>
              </w:rPr>
              <w:t>CoST</w:t>
            </w:r>
            <w:r w:rsidRPr="00CB5763">
              <w:rPr>
                <w:sz w:val="18"/>
                <w:szCs w:val="18"/>
                <w:lang w:val="fr-FR"/>
              </w:rPr>
              <w:t>) vise à renforcer la transparence et la responsabilisation</w:t>
            </w:r>
            <w:r>
              <w:rPr>
                <w:sz w:val="18"/>
                <w:szCs w:val="18"/>
                <w:lang w:val="fr-FR"/>
              </w:rPr>
              <w:t xml:space="preserve"> des entités adjudicatrices et d</w:t>
            </w:r>
            <w:r w:rsidRPr="00CB5763">
              <w:rPr>
                <w:sz w:val="18"/>
                <w:szCs w:val="18"/>
                <w:lang w:val="fr-FR"/>
              </w:rPr>
              <w:t xml:space="preserve">es entreprises de construction impliquées dans des projets de construction du </w:t>
            </w:r>
            <w:r>
              <w:rPr>
                <w:sz w:val="18"/>
                <w:szCs w:val="18"/>
                <w:lang w:val="fr-FR"/>
              </w:rPr>
              <w:t>secteur public. Co</w:t>
            </w:r>
            <w:r w:rsidRPr="00CB5763">
              <w:rPr>
                <w:sz w:val="18"/>
                <w:szCs w:val="18"/>
                <w:lang w:val="fr-FR"/>
              </w:rPr>
              <w:t xml:space="preserve">ST a élaboré un ensemble d'indicateurs de base en matière de statistiques d'appel d'offres, </w:t>
            </w:r>
            <w:r>
              <w:rPr>
                <w:sz w:val="18"/>
                <w:szCs w:val="18"/>
                <w:lang w:val="fr-FR"/>
              </w:rPr>
              <w:t>de</w:t>
            </w:r>
            <w:r w:rsidRPr="00CB5763">
              <w:rPr>
                <w:sz w:val="18"/>
                <w:szCs w:val="18"/>
                <w:lang w:val="fr-FR"/>
              </w:rPr>
              <w:t xml:space="preserve"> disponibilité publique de l'information </w:t>
            </w:r>
            <w:r>
              <w:rPr>
                <w:sz w:val="18"/>
                <w:szCs w:val="18"/>
                <w:lang w:val="fr-FR"/>
              </w:rPr>
              <w:t xml:space="preserve">relative aux </w:t>
            </w:r>
            <w:r w:rsidRPr="00CB5763">
              <w:rPr>
                <w:sz w:val="18"/>
                <w:szCs w:val="18"/>
                <w:lang w:val="fr-FR"/>
              </w:rPr>
              <w:t>projet</w:t>
            </w:r>
            <w:r>
              <w:rPr>
                <w:sz w:val="18"/>
                <w:szCs w:val="18"/>
                <w:lang w:val="fr-FR"/>
              </w:rPr>
              <w:t>s</w:t>
            </w:r>
            <w:r w:rsidRPr="00CB5763">
              <w:rPr>
                <w:sz w:val="18"/>
                <w:szCs w:val="18"/>
                <w:lang w:val="fr-FR"/>
              </w:rPr>
              <w:t xml:space="preserve">, </w:t>
            </w:r>
            <w:r>
              <w:rPr>
                <w:sz w:val="18"/>
                <w:szCs w:val="18"/>
                <w:lang w:val="fr-FR"/>
              </w:rPr>
              <w:t>de durée des</w:t>
            </w:r>
            <w:r w:rsidRPr="00CB5763">
              <w:rPr>
                <w:sz w:val="18"/>
                <w:szCs w:val="18"/>
                <w:lang w:val="fr-FR"/>
              </w:rPr>
              <w:t xml:space="preserve"> projet</w:t>
            </w:r>
            <w:r>
              <w:rPr>
                <w:sz w:val="18"/>
                <w:szCs w:val="18"/>
                <w:lang w:val="fr-FR"/>
              </w:rPr>
              <w:t>s</w:t>
            </w:r>
            <w:r w:rsidRPr="00CB5763">
              <w:rPr>
                <w:sz w:val="18"/>
                <w:szCs w:val="18"/>
                <w:lang w:val="fr-FR"/>
              </w:rPr>
              <w:t xml:space="preserve"> et </w:t>
            </w:r>
            <w:r>
              <w:rPr>
                <w:sz w:val="18"/>
                <w:szCs w:val="18"/>
                <w:lang w:val="fr-FR"/>
              </w:rPr>
              <w:t>de coût pour évaluer</w:t>
            </w:r>
            <w:r w:rsidRPr="00CB5763">
              <w:rPr>
                <w:sz w:val="18"/>
                <w:szCs w:val="18"/>
                <w:lang w:val="fr-FR"/>
              </w:rPr>
              <w:t xml:space="preserve"> le degré de transparence </w:t>
            </w:r>
            <w:r>
              <w:rPr>
                <w:sz w:val="18"/>
                <w:szCs w:val="18"/>
                <w:lang w:val="fr-FR"/>
              </w:rPr>
              <w:t xml:space="preserve">des </w:t>
            </w:r>
            <w:r w:rsidRPr="00CB5763">
              <w:rPr>
                <w:sz w:val="18"/>
                <w:szCs w:val="18"/>
                <w:lang w:val="fr-FR"/>
              </w:rPr>
              <w:t>projets de construction dans les différents pays</w:t>
            </w:r>
            <w:r>
              <w:rPr>
                <w:sz w:val="18"/>
                <w:szCs w:val="18"/>
                <w:lang w:val="fr-FR"/>
              </w:rPr>
              <w:t>,</w:t>
            </w:r>
            <w:r w:rsidRPr="00CB5763">
              <w:rPr>
                <w:sz w:val="18"/>
                <w:szCs w:val="18"/>
                <w:lang w:val="fr-FR"/>
              </w:rPr>
              <w:t xml:space="preserve"> et </w:t>
            </w:r>
            <w:r>
              <w:rPr>
                <w:sz w:val="18"/>
                <w:szCs w:val="18"/>
                <w:lang w:val="fr-FR"/>
              </w:rPr>
              <w:t xml:space="preserve">ainsi de </w:t>
            </w:r>
            <w:r w:rsidRPr="00CB5763">
              <w:rPr>
                <w:sz w:val="18"/>
                <w:szCs w:val="18"/>
                <w:lang w:val="fr-FR"/>
              </w:rPr>
              <w:t>permettre des comparaisons entre pays. Le rapport d</w:t>
            </w:r>
            <w:r>
              <w:rPr>
                <w:sz w:val="18"/>
                <w:szCs w:val="18"/>
                <w:lang w:val="fr-FR"/>
              </w:rPr>
              <w:t>e référence pour l'initiative Co</w:t>
            </w:r>
            <w:r w:rsidRPr="00CB5763">
              <w:rPr>
                <w:sz w:val="18"/>
                <w:szCs w:val="18"/>
                <w:lang w:val="fr-FR"/>
              </w:rPr>
              <w:t xml:space="preserve">ST </w:t>
            </w:r>
            <w:r>
              <w:rPr>
                <w:sz w:val="18"/>
                <w:szCs w:val="18"/>
                <w:lang w:val="fr-FR"/>
              </w:rPr>
              <w:t>en Zambie</w:t>
            </w:r>
            <w:r w:rsidRPr="00CB5763">
              <w:rPr>
                <w:sz w:val="18"/>
                <w:szCs w:val="18"/>
                <w:lang w:val="fr-FR"/>
              </w:rPr>
              <w:t xml:space="preserve"> pourrait être utilisé </w:t>
            </w:r>
            <w:r>
              <w:rPr>
                <w:sz w:val="18"/>
                <w:szCs w:val="18"/>
                <w:lang w:val="fr-FR"/>
              </w:rPr>
              <w:t>à titre d‘</w:t>
            </w:r>
            <w:r w:rsidRPr="00CB5763">
              <w:rPr>
                <w:sz w:val="18"/>
                <w:szCs w:val="18"/>
                <w:lang w:val="fr-FR"/>
              </w:rPr>
              <w:t>exemple.</w:t>
            </w:r>
          </w:p>
          <w:p w:rsidR="002A0AA5" w:rsidRPr="00273D9D" w:rsidRDefault="002A0AA5" w:rsidP="003C4819">
            <w:pPr>
              <w:rPr>
                <w:sz w:val="18"/>
                <w:szCs w:val="18"/>
                <w:lang w:val="fr-FR"/>
              </w:rPr>
            </w:pPr>
          </w:p>
        </w:tc>
        <w:tc>
          <w:tcPr>
            <w:tcW w:w="205" w:type="pct"/>
          </w:tcPr>
          <w:p w:rsidR="002A0AA5" w:rsidRPr="00273D9D" w:rsidRDefault="002A0AA5" w:rsidP="00847E7F">
            <w:pPr>
              <w:contextualSpacing/>
              <w:rPr>
                <w:sz w:val="18"/>
                <w:szCs w:val="18"/>
                <w:lang w:val="fr-FR"/>
              </w:rPr>
            </w:pPr>
          </w:p>
        </w:tc>
        <w:tc>
          <w:tcPr>
            <w:tcW w:w="205" w:type="pct"/>
          </w:tcPr>
          <w:p w:rsidR="002A0AA5" w:rsidRPr="00273D9D" w:rsidRDefault="002A0AA5" w:rsidP="00847E7F">
            <w:pPr>
              <w:contextualSpacing/>
              <w:rPr>
                <w:sz w:val="18"/>
                <w:szCs w:val="18"/>
                <w:lang w:val="fr-FR"/>
              </w:rPr>
            </w:pPr>
          </w:p>
        </w:tc>
        <w:tc>
          <w:tcPr>
            <w:tcW w:w="171" w:type="pct"/>
          </w:tcPr>
          <w:p w:rsidR="002A0AA5" w:rsidRPr="00273D9D" w:rsidRDefault="002A0AA5" w:rsidP="00847E7F">
            <w:pPr>
              <w:contextualSpacing/>
              <w:rPr>
                <w:sz w:val="18"/>
                <w:szCs w:val="18"/>
                <w:lang w:val="fr-FR"/>
              </w:rPr>
            </w:pPr>
          </w:p>
        </w:tc>
        <w:tc>
          <w:tcPr>
            <w:tcW w:w="171" w:type="pct"/>
          </w:tcPr>
          <w:p w:rsidR="002A0AA5" w:rsidRPr="00273D9D" w:rsidRDefault="002A0AA5" w:rsidP="00847E7F">
            <w:pPr>
              <w:contextualSpacing/>
              <w:rPr>
                <w:sz w:val="18"/>
                <w:szCs w:val="18"/>
                <w:lang w:val="fr-FR"/>
              </w:rPr>
            </w:pPr>
          </w:p>
        </w:tc>
        <w:tc>
          <w:tcPr>
            <w:tcW w:w="205" w:type="pct"/>
          </w:tcPr>
          <w:p w:rsidR="002A0AA5" w:rsidRPr="00273D9D" w:rsidRDefault="002A0AA5" w:rsidP="00847E7F">
            <w:pPr>
              <w:contextualSpacing/>
              <w:rPr>
                <w:sz w:val="18"/>
                <w:szCs w:val="18"/>
                <w:lang w:val="fr-FR"/>
              </w:rPr>
            </w:pPr>
          </w:p>
        </w:tc>
        <w:tc>
          <w:tcPr>
            <w:tcW w:w="1680" w:type="pct"/>
          </w:tcPr>
          <w:p w:rsidR="002A0AA5" w:rsidRPr="00273D9D" w:rsidRDefault="002A0AA5" w:rsidP="00847E7F">
            <w:pPr>
              <w:contextualSpacing/>
              <w:rPr>
                <w:sz w:val="18"/>
                <w:szCs w:val="18"/>
                <w:lang w:val="fr-FR"/>
              </w:rPr>
            </w:pPr>
          </w:p>
        </w:tc>
      </w:tr>
      <w:tr w:rsidR="002A0AA5" w:rsidRPr="007C077B" w:rsidTr="00725770">
        <w:trPr>
          <w:cantSplit/>
        </w:trPr>
        <w:tc>
          <w:tcPr>
            <w:tcW w:w="724" w:type="pct"/>
            <w:vMerge/>
          </w:tcPr>
          <w:p w:rsidR="002A0AA5" w:rsidRPr="00273D9D" w:rsidRDefault="002A0AA5" w:rsidP="00847E7F">
            <w:pPr>
              <w:contextualSpacing/>
              <w:rPr>
                <w:sz w:val="18"/>
                <w:szCs w:val="18"/>
                <w:lang w:val="fr-FR"/>
              </w:rPr>
            </w:pPr>
          </w:p>
        </w:tc>
        <w:tc>
          <w:tcPr>
            <w:tcW w:w="1639" w:type="pct"/>
          </w:tcPr>
          <w:p w:rsidR="002A0AA5" w:rsidRPr="00264930" w:rsidRDefault="002A0AA5" w:rsidP="002318C6">
            <w:pPr>
              <w:rPr>
                <w:b/>
                <w:sz w:val="18"/>
                <w:szCs w:val="18"/>
                <w:lang w:val="fr-FR"/>
              </w:rPr>
            </w:pPr>
            <w:r w:rsidRPr="00264930">
              <w:rPr>
                <w:b/>
                <w:sz w:val="18"/>
                <w:szCs w:val="18"/>
                <w:lang w:val="fr-FR"/>
              </w:rPr>
              <w:t xml:space="preserve">Nouvel ensemble de données sur les contrats </w:t>
            </w:r>
            <w:r>
              <w:rPr>
                <w:b/>
                <w:sz w:val="18"/>
                <w:szCs w:val="18"/>
                <w:lang w:val="fr-FR"/>
              </w:rPr>
              <w:t xml:space="preserve">de </w:t>
            </w:r>
            <w:r w:rsidRPr="00264930">
              <w:rPr>
                <w:b/>
                <w:sz w:val="18"/>
                <w:szCs w:val="18"/>
                <w:lang w:val="fr-FR"/>
              </w:rPr>
              <w:t>travaux routiers de</w:t>
            </w:r>
            <w:r>
              <w:rPr>
                <w:b/>
                <w:sz w:val="18"/>
                <w:szCs w:val="18"/>
                <w:lang w:val="fr-FR"/>
              </w:rPr>
              <w:t>s</w:t>
            </w:r>
            <w:r w:rsidRPr="00264930">
              <w:rPr>
                <w:b/>
                <w:sz w:val="18"/>
                <w:szCs w:val="18"/>
                <w:lang w:val="fr-FR"/>
              </w:rPr>
              <w:t xml:space="preserve"> projets financés par la Banque </w:t>
            </w:r>
            <w:r>
              <w:rPr>
                <w:b/>
                <w:sz w:val="18"/>
                <w:szCs w:val="18"/>
                <w:lang w:val="fr-FR"/>
              </w:rPr>
              <w:t xml:space="preserve">mondiale (BM) </w:t>
            </w:r>
            <w:r w:rsidRPr="00264930">
              <w:rPr>
                <w:b/>
                <w:sz w:val="18"/>
                <w:szCs w:val="18"/>
                <w:lang w:val="fr-FR"/>
              </w:rPr>
              <w:t>en Afrique sub-saharienne</w:t>
            </w:r>
            <w:r w:rsidRPr="00264930">
              <w:rPr>
                <w:sz w:val="18"/>
                <w:szCs w:val="18"/>
                <w:lang w:val="fr-FR"/>
              </w:rPr>
              <w:t xml:space="preserve">: Cette nouvelle base de données est destinée à établir un cadre pour </w:t>
            </w:r>
            <w:r>
              <w:rPr>
                <w:sz w:val="18"/>
                <w:szCs w:val="18"/>
                <w:lang w:val="fr-FR"/>
              </w:rPr>
              <w:t>permettre des</w:t>
            </w:r>
            <w:r w:rsidRPr="00264930">
              <w:rPr>
                <w:sz w:val="18"/>
                <w:szCs w:val="18"/>
                <w:lang w:val="fr-FR"/>
              </w:rPr>
              <w:t xml:space="preserve"> comparaisons entre pays </w:t>
            </w:r>
            <w:r>
              <w:rPr>
                <w:sz w:val="18"/>
                <w:szCs w:val="18"/>
                <w:lang w:val="fr-FR"/>
              </w:rPr>
              <w:t>concernant le</w:t>
            </w:r>
            <w:r w:rsidRPr="00264930">
              <w:rPr>
                <w:sz w:val="18"/>
                <w:szCs w:val="18"/>
                <w:lang w:val="fr-FR"/>
              </w:rPr>
              <w:t>s proc</w:t>
            </w:r>
            <w:r>
              <w:rPr>
                <w:sz w:val="18"/>
                <w:szCs w:val="18"/>
                <w:lang w:val="fr-FR"/>
              </w:rPr>
              <w:t>édures</w:t>
            </w:r>
            <w:r w:rsidRPr="00264930">
              <w:rPr>
                <w:sz w:val="18"/>
                <w:szCs w:val="18"/>
                <w:lang w:val="fr-FR"/>
              </w:rPr>
              <w:t xml:space="preserve"> </w:t>
            </w:r>
            <w:r>
              <w:rPr>
                <w:sz w:val="18"/>
                <w:szCs w:val="18"/>
                <w:lang w:val="fr-FR"/>
              </w:rPr>
              <w:t>de passation de marché</w:t>
            </w:r>
            <w:r w:rsidRPr="00264930">
              <w:rPr>
                <w:sz w:val="18"/>
                <w:szCs w:val="18"/>
                <w:lang w:val="fr-FR"/>
              </w:rPr>
              <w:t xml:space="preserve"> et la mise en œuvre </w:t>
            </w:r>
            <w:r>
              <w:rPr>
                <w:sz w:val="18"/>
                <w:szCs w:val="18"/>
                <w:lang w:val="fr-FR"/>
              </w:rPr>
              <w:t xml:space="preserve">des </w:t>
            </w:r>
            <w:r w:rsidRPr="00264930">
              <w:rPr>
                <w:sz w:val="18"/>
                <w:szCs w:val="18"/>
                <w:lang w:val="fr-FR"/>
              </w:rPr>
              <w:t>contrats de travaux routiers dans les pr</w:t>
            </w:r>
            <w:r>
              <w:rPr>
                <w:sz w:val="18"/>
                <w:szCs w:val="18"/>
                <w:lang w:val="fr-FR"/>
              </w:rPr>
              <w:t>ojets financés par la BM, à développer un</w:t>
            </w:r>
            <w:r w:rsidRPr="00264930">
              <w:rPr>
                <w:sz w:val="18"/>
                <w:szCs w:val="18"/>
                <w:lang w:val="fr-FR"/>
              </w:rPr>
              <w:t xml:space="preserve"> ensemble d'indicateurs </w:t>
            </w:r>
            <w:r>
              <w:rPr>
                <w:sz w:val="18"/>
                <w:szCs w:val="18"/>
                <w:lang w:val="fr-FR"/>
              </w:rPr>
              <w:t xml:space="preserve">d’alertes </w:t>
            </w:r>
            <w:r w:rsidRPr="00264930">
              <w:rPr>
                <w:sz w:val="18"/>
                <w:szCs w:val="18"/>
                <w:lang w:val="fr-FR"/>
              </w:rPr>
              <w:t xml:space="preserve">sur la </w:t>
            </w:r>
            <w:r>
              <w:rPr>
                <w:sz w:val="18"/>
                <w:szCs w:val="18"/>
                <w:lang w:val="fr-FR"/>
              </w:rPr>
              <w:t>base de critères quantifiables pour</w:t>
            </w:r>
            <w:r w:rsidRPr="00264930">
              <w:rPr>
                <w:sz w:val="18"/>
                <w:szCs w:val="18"/>
                <w:lang w:val="fr-FR"/>
              </w:rPr>
              <w:t xml:space="preserve"> reconnaître et suivre les </w:t>
            </w:r>
            <w:r>
              <w:rPr>
                <w:sz w:val="18"/>
                <w:szCs w:val="18"/>
                <w:lang w:val="fr-FR"/>
              </w:rPr>
              <w:t xml:space="preserve">risques </w:t>
            </w:r>
            <w:r w:rsidRPr="00264930">
              <w:rPr>
                <w:sz w:val="18"/>
                <w:szCs w:val="18"/>
                <w:lang w:val="fr-FR"/>
              </w:rPr>
              <w:t xml:space="preserve">de corruption dans le secteur routier, et faciliter </w:t>
            </w:r>
            <w:r>
              <w:rPr>
                <w:sz w:val="18"/>
                <w:szCs w:val="18"/>
                <w:lang w:val="fr-FR"/>
              </w:rPr>
              <w:t xml:space="preserve">une </w:t>
            </w:r>
            <w:r w:rsidRPr="00264930">
              <w:rPr>
                <w:sz w:val="18"/>
                <w:szCs w:val="18"/>
                <w:lang w:val="fr-FR"/>
              </w:rPr>
              <w:t xml:space="preserve">mesure de la performance des </w:t>
            </w:r>
            <w:r>
              <w:rPr>
                <w:sz w:val="18"/>
                <w:szCs w:val="18"/>
                <w:lang w:val="fr-FR"/>
              </w:rPr>
              <w:t xml:space="preserve">contrats de </w:t>
            </w:r>
            <w:r w:rsidRPr="00264930">
              <w:rPr>
                <w:sz w:val="18"/>
                <w:szCs w:val="18"/>
                <w:lang w:val="fr-FR"/>
              </w:rPr>
              <w:t xml:space="preserve">travaux routiers dans </w:t>
            </w:r>
            <w:r>
              <w:rPr>
                <w:sz w:val="18"/>
                <w:szCs w:val="18"/>
                <w:lang w:val="fr-FR"/>
              </w:rPr>
              <w:t>l</w:t>
            </w:r>
            <w:r w:rsidRPr="00264930">
              <w:rPr>
                <w:sz w:val="18"/>
                <w:szCs w:val="18"/>
                <w:lang w:val="fr-FR"/>
              </w:rPr>
              <w:t xml:space="preserve">es projets financés par la </w:t>
            </w:r>
            <w:r>
              <w:rPr>
                <w:sz w:val="18"/>
                <w:szCs w:val="18"/>
                <w:lang w:val="fr-FR"/>
              </w:rPr>
              <w:t>BM</w:t>
            </w:r>
            <w:r w:rsidRPr="00264930">
              <w:rPr>
                <w:b/>
                <w:sz w:val="18"/>
                <w:szCs w:val="18"/>
                <w:lang w:val="fr-FR"/>
              </w:rPr>
              <w:t>.</w:t>
            </w:r>
            <w:r>
              <w:rPr>
                <w:b/>
                <w:sz w:val="18"/>
                <w:szCs w:val="18"/>
                <w:lang w:val="fr-FR"/>
              </w:rPr>
              <w:t xml:space="preserve"> </w:t>
            </w:r>
          </w:p>
          <w:p w:rsidR="002A0AA5" w:rsidRPr="00273D9D" w:rsidRDefault="002A0AA5" w:rsidP="00264930">
            <w:pPr>
              <w:rPr>
                <w:sz w:val="18"/>
                <w:szCs w:val="18"/>
                <w:lang w:val="fr-FR"/>
              </w:rPr>
            </w:pPr>
          </w:p>
        </w:tc>
        <w:tc>
          <w:tcPr>
            <w:tcW w:w="205" w:type="pct"/>
          </w:tcPr>
          <w:p w:rsidR="002A0AA5" w:rsidRPr="00273D9D" w:rsidRDefault="002A0AA5" w:rsidP="00847E7F">
            <w:pPr>
              <w:contextualSpacing/>
              <w:rPr>
                <w:sz w:val="18"/>
                <w:szCs w:val="18"/>
                <w:lang w:val="fr-FR"/>
              </w:rPr>
            </w:pPr>
          </w:p>
        </w:tc>
        <w:tc>
          <w:tcPr>
            <w:tcW w:w="205" w:type="pct"/>
          </w:tcPr>
          <w:p w:rsidR="002A0AA5" w:rsidRPr="00273D9D" w:rsidRDefault="002A0AA5" w:rsidP="00847E7F">
            <w:pPr>
              <w:contextualSpacing/>
              <w:rPr>
                <w:sz w:val="18"/>
                <w:szCs w:val="18"/>
                <w:lang w:val="fr-FR"/>
              </w:rPr>
            </w:pPr>
          </w:p>
        </w:tc>
        <w:tc>
          <w:tcPr>
            <w:tcW w:w="171" w:type="pct"/>
          </w:tcPr>
          <w:p w:rsidR="002A0AA5" w:rsidRPr="00273D9D" w:rsidRDefault="002A0AA5" w:rsidP="00847E7F">
            <w:pPr>
              <w:contextualSpacing/>
              <w:rPr>
                <w:sz w:val="18"/>
                <w:szCs w:val="18"/>
                <w:lang w:val="fr-FR"/>
              </w:rPr>
            </w:pPr>
          </w:p>
        </w:tc>
        <w:tc>
          <w:tcPr>
            <w:tcW w:w="171" w:type="pct"/>
          </w:tcPr>
          <w:p w:rsidR="002A0AA5" w:rsidRPr="00273D9D" w:rsidRDefault="002A0AA5" w:rsidP="00847E7F">
            <w:pPr>
              <w:contextualSpacing/>
              <w:rPr>
                <w:sz w:val="18"/>
                <w:szCs w:val="18"/>
                <w:lang w:val="fr-FR"/>
              </w:rPr>
            </w:pPr>
          </w:p>
        </w:tc>
        <w:tc>
          <w:tcPr>
            <w:tcW w:w="205" w:type="pct"/>
          </w:tcPr>
          <w:p w:rsidR="002A0AA5" w:rsidRPr="00273D9D" w:rsidRDefault="002A0AA5" w:rsidP="00847E7F">
            <w:pPr>
              <w:contextualSpacing/>
              <w:rPr>
                <w:sz w:val="18"/>
                <w:szCs w:val="18"/>
                <w:lang w:val="fr-FR"/>
              </w:rPr>
            </w:pPr>
          </w:p>
        </w:tc>
        <w:tc>
          <w:tcPr>
            <w:tcW w:w="1680" w:type="pct"/>
          </w:tcPr>
          <w:p w:rsidR="002A0AA5" w:rsidRPr="00273D9D" w:rsidRDefault="002A0AA5" w:rsidP="00847E7F">
            <w:pPr>
              <w:contextualSpacing/>
              <w:rPr>
                <w:sz w:val="18"/>
                <w:szCs w:val="18"/>
                <w:lang w:val="fr-FR"/>
              </w:rPr>
            </w:pPr>
          </w:p>
        </w:tc>
      </w:tr>
    </w:tbl>
    <w:p w:rsidR="002A0AA5" w:rsidRDefault="002A0AA5" w:rsidP="00F95B7E">
      <w:pPr>
        <w:spacing w:line="240" w:lineRule="auto"/>
        <w:rPr>
          <w:lang w:val="fr-FR"/>
        </w:rPr>
        <w:sectPr w:rsidR="002A0AA5" w:rsidSect="00087517">
          <w:pgSz w:w="15840" w:h="12240" w:orient="landscape"/>
          <w:pgMar w:top="1440" w:right="1440" w:bottom="1440" w:left="1440" w:header="720" w:footer="720" w:gutter="0"/>
          <w:cols w:space="720"/>
          <w:docGrid w:linePitch="360"/>
        </w:sectPr>
      </w:pPr>
    </w:p>
    <w:p w:rsidR="0022605F" w:rsidRPr="002A0AA5" w:rsidRDefault="00273D9D" w:rsidP="002A0AA5">
      <w:pPr>
        <w:rPr>
          <w:b/>
          <w:i/>
          <w:sz w:val="24"/>
          <w:szCs w:val="24"/>
          <w:lang w:val="fr-FR"/>
        </w:rPr>
      </w:pPr>
      <w:r w:rsidRPr="002A0AA5">
        <w:rPr>
          <w:b/>
          <w:i/>
          <w:sz w:val="24"/>
          <w:szCs w:val="24"/>
          <w:lang w:val="fr-FR"/>
        </w:rPr>
        <w:lastRenderedPageBreak/>
        <w:t>L</w:t>
      </w:r>
      <w:r w:rsidR="007350D1" w:rsidRPr="002A0AA5">
        <w:rPr>
          <w:b/>
          <w:i/>
          <w:sz w:val="24"/>
          <w:szCs w:val="24"/>
          <w:lang w:val="fr-FR"/>
        </w:rPr>
        <w:t xml:space="preserve">égislation et </w:t>
      </w:r>
      <w:r w:rsidRPr="002A0AA5">
        <w:rPr>
          <w:b/>
          <w:i/>
          <w:sz w:val="24"/>
          <w:szCs w:val="24"/>
          <w:lang w:val="fr-FR"/>
        </w:rPr>
        <w:t>r</w:t>
      </w:r>
      <w:r w:rsidR="007350D1" w:rsidRPr="002A0AA5">
        <w:rPr>
          <w:b/>
          <w:i/>
          <w:sz w:val="24"/>
          <w:szCs w:val="24"/>
          <w:lang w:val="fr-FR"/>
        </w:rPr>
        <w:t>égulation</w:t>
      </w:r>
    </w:p>
    <w:p w:rsidR="002C55E7" w:rsidRPr="00273D9D" w:rsidRDefault="00264930" w:rsidP="002A0AA5">
      <w:pPr>
        <w:spacing w:after="240" w:line="240" w:lineRule="auto"/>
        <w:jc w:val="both"/>
        <w:rPr>
          <w:lang w:val="fr-FR"/>
        </w:rPr>
      </w:pPr>
      <w:r>
        <w:rPr>
          <w:lang w:val="fr-FR"/>
        </w:rPr>
        <w:t>Une</w:t>
      </w:r>
      <w:r w:rsidRPr="00264930">
        <w:rPr>
          <w:lang w:val="fr-FR"/>
        </w:rPr>
        <w:t xml:space="preserve"> législation </w:t>
      </w:r>
      <w:r>
        <w:rPr>
          <w:lang w:val="fr-FR"/>
        </w:rPr>
        <w:t xml:space="preserve">raisonnable </w:t>
      </w:r>
      <w:r w:rsidRPr="00264930">
        <w:rPr>
          <w:lang w:val="fr-FR"/>
        </w:rPr>
        <w:t xml:space="preserve">et une réglementation efficace </w:t>
      </w:r>
      <w:r>
        <w:rPr>
          <w:lang w:val="fr-FR"/>
        </w:rPr>
        <w:t xml:space="preserve">sont des </w:t>
      </w:r>
      <w:r w:rsidRPr="00264930">
        <w:rPr>
          <w:lang w:val="fr-FR"/>
        </w:rPr>
        <w:t>élément</w:t>
      </w:r>
      <w:r>
        <w:rPr>
          <w:lang w:val="fr-FR"/>
        </w:rPr>
        <w:t>s</w:t>
      </w:r>
      <w:r w:rsidRPr="00264930">
        <w:rPr>
          <w:lang w:val="fr-FR"/>
        </w:rPr>
        <w:t xml:space="preserve"> essentiel</w:t>
      </w:r>
      <w:r>
        <w:rPr>
          <w:lang w:val="fr-FR"/>
        </w:rPr>
        <w:t>s</w:t>
      </w:r>
      <w:r w:rsidRPr="00264930">
        <w:rPr>
          <w:lang w:val="fr-FR"/>
        </w:rPr>
        <w:t xml:space="preserve"> </w:t>
      </w:r>
      <w:r>
        <w:rPr>
          <w:lang w:val="fr-FR"/>
        </w:rPr>
        <w:t xml:space="preserve">pour assurer une </w:t>
      </w:r>
      <w:r w:rsidRPr="00264930">
        <w:rPr>
          <w:lang w:val="fr-FR"/>
        </w:rPr>
        <w:t xml:space="preserve">bonne gouvernance. </w:t>
      </w:r>
      <w:r>
        <w:rPr>
          <w:lang w:val="fr-FR"/>
        </w:rPr>
        <w:t xml:space="preserve">Il existe </w:t>
      </w:r>
      <w:r w:rsidRPr="00264930">
        <w:rPr>
          <w:lang w:val="fr-FR"/>
        </w:rPr>
        <w:t>d'innombrables exemples de législation</w:t>
      </w:r>
      <w:r>
        <w:rPr>
          <w:lang w:val="fr-FR"/>
        </w:rPr>
        <w:t>s</w:t>
      </w:r>
      <w:r w:rsidRPr="00264930">
        <w:rPr>
          <w:lang w:val="fr-FR"/>
        </w:rPr>
        <w:t xml:space="preserve"> / réglementation</w:t>
      </w:r>
      <w:r>
        <w:rPr>
          <w:lang w:val="fr-FR"/>
        </w:rPr>
        <w:t>s</w:t>
      </w:r>
      <w:r w:rsidRPr="00264930">
        <w:rPr>
          <w:lang w:val="fr-FR"/>
        </w:rPr>
        <w:t xml:space="preserve"> qui génèrent des impacts négatifs, ou des instances de bonne législation qui devien</w:t>
      </w:r>
      <w:r>
        <w:rPr>
          <w:lang w:val="fr-FR"/>
        </w:rPr>
        <w:t>nent</w:t>
      </w:r>
      <w:r w:rsidRPr="00264930">
        <w:rPr>
          <w:lang w:val="fr-FR"/>
        </w:rPr>
        <w:t xml:space="preserve"> inutile</w:t>
      </w:r>
      <w:r>
        <w:rPr>
          <w:lang w:val="fr-FR"/>
        </w:rPr>
        <w:t>s</w:t>
      </w:r>
      <w:r w:rsidRPr="00264930">
        <w:rPr>
          <w:lang w:val="fr-FR"/>
        </w:rPr>
        <w:t xml:space="preserve"> à cause d'une mauvaise application. La </w:t>
      </w:r>
      <w:r w:rsidR="003C4819">
        <w:rPr>
          <w:lang w:val="fr-FR"/>
        </w:rPr>
        <w:t xml:space="preserve">session </w:t>
      </w:r>
      <w:r w:rsidRPr="00264930">
        <w:rPr>
          <w:lang w:val="fr-FR"/>
        </w:rPr>
        <w:t xml:space="preserve">se penchera sur un certain nombre de cas </w:t>
      </w:r>
      <w:r>
        <w:rPr>
          <w:lang w:val="fr-FR"/>
        </w:rPr>
        <w:t xml:space="preserve">pour </w:t>
      </w:r>
      <w:r w:rsidRPr="00264930">
        <w:rPr>
          <w:lang w:val="fr-FR"/>
        </w:rPr>
        <w:t xml:space="preserve">étudier les moyens d'améliorer la législation et de la réglementation dans le secteur des transports </w:t>
      </w:r>
      <w:r>
        <w:rPr>
          <w:lang w:val="fr-FR"/>
        </w:rPr>
        <w:t xml:space="preserve">ainsi que </w:t>
      </w:r>
      <w:r w:rsidRPr="00264930">
        <w:rPr>
          <w:lang w:val="fr-FR"/>
        </w:rPr>
        <w:t>leur mise en œuvre:</w:t>
      </w:r>
    </w:p>
    <w:tbl>
      <w:tblPr>
        <w:tblStyle w:val="TableGrid"/>
        <w:tblW w:w="5000" w:type="pct"/>
        <w:tblLayout w:type="fixed"/>
        <w:tblLook w:val="04A0" w:firstRow="1" w:lastRow="0" w:firstColumn="1" w:lastColumn="0" w:noHBand="0" w:noVBand="1"/>
      </w:tblPr>
      <w:tblGrid>
        <w:gridCol w:w="2068"/>
        <w:gridCol w:w="4161"/>
        <w:gridCol w:w="540"/>
        <w:gridCol w:w="540"/>
        <w:gridCol w:w="451"/>
        <w:gridCol w:w="451"/>
        <w:gridCol w:w="540"/>
        <w:gridCol w:w="4425"/>
      </w:tblGrid>
      <w:tr w:rsidR="007350D1" w:rsidRPr="00E25667" w:rsidTr="002A0AA5">
        <w:tc>
          <w:tcPr>
            <w:tcW w:w="785" w:type="pct"/>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Titre de la session</w:t>
            </w:r>
          </w:p>
        </w:tc>
        <w:tc>
          <w:tcPr>
            <w:tcW w:w="1579" w:type="pct"/>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Description</w:t>
            </w:r>
          </w:p>
        </w:tc>
        <w:tc>
          <w:tcPr>
            <w:tcW w:w="957" w:type="pct"/>
            <w:gridSpan w:val="5"/>
            <w:shd w:val="clear" w:color="auto" w:fill="E5DFEC" w:themeFill="accent4" w:themeFillTint="33"/>
            <w:vAlign w:val="center"/>
          </w:tcPr>
          <w:p w:rsidR="002A0AA5" w:rsidRPr="002A0AA5" w:rsidRDefault="007350D1" w:rsidP="007350D1">
            <w:pPr>
              <w:contextualSpacing/>
              <w:jc w:val="center"/>
              <w:rPr>
                <w:b/>
                <w:i/>
                <w:sz w:val="18"/>
                <w:szCs w:val="18"/>
                <w:lang w:val="fr-FR"/>
              </w:rPr>
            </w:pPr>
            <w:r w:rsidRPr="002A0AA5">
              <w:rPr>
                <w:b/>
                <w:i/>
                <w:sz w:val="18"/>
                <w:szCs w:val="18"/>
                <w:lang w:val="fr-FR"/>
              </w:rPr>
              <w:t>Comment classeriez-vous la séance? (Importance / pertinence du sujet)</w:t>
            </w:r>
          </w:p>
        </w:tc>
        <w:tc>
          <w:tcPr>
            <w:tcW w:w="1679" w:type="pct"/>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Commentaires supplémentaires</w:t>
            </w:r>
          </w:p>
        </w:tc>
      </w:tr>
      <w:tr w:rsidR="002C55E7" w:rsidRPr="00E25667" w:rsidTr="002A0AA5">
        <w:tc>
          <w:tcPr>
            <w:tcW w:w="785" w:type="pct"/>
            <w:vMerge/>
          </w:tcPr>
          <w:p w:rsidR="002C55E7" w:rsidRPr="002A0AA5" w:rsidRDefault="002C55E7" w:rsidP="00847E7F">
            <w:pPr>
              <w:contextualSpacing/>
              <w:rPr>
                <w:b/>
                <w:sz w:val="18"/>
                <w:szCs w:val="18"/>
                <w:lang w:val="fr-FR"/>
              </w:rPr>
            </w:pPr>
          </w:p>
        </w:tc>
        <w:tc>
          <w:tcPr>
            <w:tcW w:w="1579" w:type="pct"/>
            <w:vMerge/>
          </w:tcPr>
          <w:p w:rsidR="002C55E7" w:rsidRPr="002A0AA5" w:rsidRDefault="002C55E7" w:rsidP="00847E7F">
            <w:pPr>
              <w:contextualSpacing/>
              <w:rPr>
                <w:b/>
                <w:sz w:val="18"/>
                <w:szCs w:val="18"/>
                <w:lang w:val="fr-FR"/>
              </w:rPr>
            </w:pP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0</w:t>
            </w: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1</w:t>
            </w:r>
          </w:p>
        </w:tc>
        <w:tc>
          <w:tcPr>
            <w:tcW w:w="171"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2</w:t>
            </w:r>
          </w:p>
        </w:tc>
        <w:tc>
          <w:tcPr>
            <w:tcW w:w="171"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3</w:t>
            </w:r>
          </w:p>
        </w:tc>
        <w:tc>
          <w:tcPr>
            <w:tcW w:w="205" w:type="pct"/>
            <w:shd w:val="clear" w:color="auto" w:fill="E5DFEC" w:themeFill="accent4" w:themeFillTint="33"/>
          </w:tcPr>
          <w:p w:rsidR="002C55E7" w:rsidRPr="002A0AA5" w:rsidRDefault="002C55E7" w:rsidP="00847E7F">
            <w:pPr>
              <w:contextualSpacing/>
              <w:rPr>
                <w:b/>
                <w:sz w:val="18"/>
                <w:szCs w:val="18"/>
                <w:lang w:val="fr-FR"/>
              </w:rPr>
            </w:pPr>
            <w:r w:rsidRPr="002A0AA5">
              <w:rPr>
                <w:b/>
                <w:sz w:val="18"/>
                <w:szCs w:val="18"/>
                <w:lang w:val="fr-FR"/>
              </w:rPr>
              <w:t>4</w:t>
            </w:r>
          </w:p>
        </w:tc>
        <w:tc>
          <w:tcPr>
            <w:tcW w:w="1679" w:type="pct"/>
            <w:vMerge/>
          </w:tcPr>
          <w:p w:rsidR="002C55E7" w:rsidRPr="002A0AA5" w:rsidRDefault="002C55E7" w:rsidP="00847E7F">
            <w:pPr>
              <w:contextualSpacing/>
              <w:rPr>
                <w:lang w:val="fr-FR"/>
              </w:rPr>
            </w:pPr>
          </w:p>
        </w:tc>
      </w:tr>
      <w:tr w:rsidR="000E0831" w:rsidRPr="007C077B" w:rsidTr="007350D1">
        <w:tc>
          <w:tcPr>
            <w:tcW w:w="785" w:type="pct"/>
          </w:tcPr>
          <w:p w:rsidR="002C55E7" w:rsidRPr="002A0AA5" w:rsidRDefault="00BE0A18" w:rsidP="00847E7F">
            <w:pPr>
              <w:contextualSpacing/>
              <w:rPr>
                <w:sz w:val="18"/>
                <w:szCs w:val="18"/>
                <w:lang w:val="fr-FR"/>
              </w:rPr>
            </w:pPr>
            <w:r w:rsidRPr="002A0AA5">
              <w:rPr>
                <w:b/>
                <w:sz w:val="18"/>
                <w:szCs w:val="18"/>
                <w:lang w:val="fr-FR"/>
              </w:rPr>
              <w:t>Eléments de sécu</w:t>
            </w:r>
            <w:r w:rsidR="00273D9D" w:rsidRPr="002A0AA5">
              <w:rPr>
                <w:b/>
                <w:sz w:val="18"/>
                <w:szCs w:val="18"/>
                <w:lang w:val="fr-FR"/>
              </w:rPr>
              <w:t>r</w:t>
            </w:r>
            <w:r w:rsidRPr="002A0AA5">
              <w:rPr>
                <w:b/>
                <w:sz w:val="18"/>
                <w:szCs w:val="18"/>
                <w:lang w:val="fr-FR"/>
              </w:rPr>
              <w:t>ité routière</w:t>
            </w:r>
          </w:p>
        </w:tc>
        <w:tc>
          <w:tcPr>
            <w:tcW w:w="1579" w:type="pct"/>
          </w:tcPr>
          <w:p w:rsidR="002C55E7" w:rsidRPr="002A0AA5" w:rsidRDefault="00BE0A18" w:rsidP="003C4819">
            <w:pPr>
              <w:contextualSpacing/>
              <w:rPr>
                <w:sz w:val="18"/>
                <w:szCs w:val="18"/>
                <w:lang w:val="fr-FR"/>
              </w:rPr>
            </w:pPr>
            <w:r w:rsidRPr="002A0AA5">
              <w:rPr>
                <w:sz w:val="18"/>
                <w:szCs w:val="18"/>
                <w:lang w:val="fr-FR"/>
              </w:rPr>
              <w:t xml:space="preserve">Plaidoyer pour l’application de la législation relative à la sécurité routière, par exemple, </w:t>
            </w:r>
            <w:r w:rsidR="00273D9D" w:rsidRPr="002A0AA5">
              <w:rPr>
                <w:sz w:val="18"/>
                <w:szCs w:val="18"/>
                <w:lang w:val="fr-FR"/>
              </w:rPr>
              <w:t xml:space="preserve">la </w:t>
            </w:r>
            <w:r w:rsidRPr="002A0AA5">
              <w:rPr>
                <w:sz w:val="18"/>
                <w:szCs w:val="18"/>
                <w:lang w:val="fr-FR"/>
              </w:rPr>
              <w:t xml:space="preserve">limitation de la vitesse et de l’alcoolémie, </w:t>
            </w:r>
            <w:r w:rsidR="00273D9D" w:rsidRPr="002A0AA5">
              <w:rPr>
                <w:sz w:val="18"/>
                <w:szCs w:val="18"/>
                <w:lang w:val="fr-FR"/>
              </w:rPr>
              <w:t xml:space="preserve">les </w:t>
            </w:r>
            <w:r w:rsidRPr="002A0AA5">
              <w:rPr>
                <w:sz w:val="18"/>
                <w:szCs w:val="18"/>
                <w:lang w:val="fr-FR"/>
              </w:rPr>
              <w:t>règles relatives au port du casque et des ceintures de sécurité, qui sont actuellement obligatoires mais peu appliquées.</w:t>
            </w:r>
          </w:p>
          <w:p w:rsidR="002A0AA5" w:rsidRPr="002A0AA5" w:rsidRDefault="002A0AA5" w:rsidP="003C4819">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171" w:type="pct"/>
          </w:tcPr>
          <w:p w:rsidR="002C55E7" w:rsidRPr="002A0AA5" w:rsidRDefault="002C55E7" w:rsidP="00847E7F">
            <w:pPr>
              <w:contextualSpacing/>
              <w:rPr>
                <w:lang w:val="fr-FR"/>
              </w:rPr>
            </w:pPr>
          </w:p>
        </w:tc>
        <w:tc>
          <w:tcPr>
            <w:tcW w:w="171" w:type="pct"/>
          </w:tcPr>
          <w:p w:rsidR="002C55E7" w:rsidRPr="002A0AA5" w:rsidRDefault="002C55E7" w:rsidP="00847E7F">
            <w:pPr>
              <w:contextualSpacing/>
              <w:rPr>
                <w:lang w:val="fr-FR"/>
              </w:rPr>
            </w:pPr>
          </w:p>
        </w:tc>
        <w:tc>
          <w:tcPr>
            <w:tcW w:w="205" w:type="pct"/>
          </w:tcPr>
          <w:p w:rsidR="002C55E7" w:rsidRPr="002A0AA5" w:rsidRDefault="002C55E7" w:rsidP="00847E7F">
            <w:pPr>
              <w:contextualSpacing/>
              <w:rPr>
                <w:lang w:val="fr-FR"/>
              </w:rPr>
            </w:pPr>
          </w:p>
        </w:tc>
        <w:tc>
          <w:tcPr>
            <w:tcW w:w="1679" w:type="pct"/>
          </w:tcPr>
          <w:p w:rsidR="002C55E7" w:rsidRPr="002A0AA5" w:rsidRDefault="002C55E7" w:rsidP="00847E7F">
            <w:pPr>
              <w:contextualSpacing/>
              <w:rPr>
                <w:lang w:val="fr-FR"/>
              </w:rPr>
            </w:pPr>
          </w:p>
        </w:tc>
      </w:tr>
      <w:tr w:rsidR="000E0831" w:rsidRPr="007C077B" w:rsidTr="007350D1">
        <w:trPr>
          <w:trHeight w:val="917"/>
        </w:trPr>
        <w:tc>
          <w:tcPr>
            <w:tcW w:w="785" w:type="pct"/>
          </w:tcPr>
          <w:p w:rsidR="002C55E7" w:rsidRPr="002A0AA5" w:rsidRDefault="00832E9A" w:rsidP="00832E9A">
            <w:pPr>
              <w:rPr>
                <w:sz w:val="18"/>
                <w:szCs w:val="18"/>
                <w:lang w:val="fr-FR"/>
              </w:rPr>
            </w:pPr>
            <w:r w:rsidRPr="002A0AA5">
              <w:rPr>
                <w:b/>
                <w:sz w:val="18"/>
                <w:szCs w:val="18"/>
                <w:lang w:val="fr-FR"/>
              </w:rPr>
              <w:t xml:space="preserve">Revue </w:t>
            </w:r>
            <w:proofErr w:type="spellStart"/>
            <w:r w:rsidR="000E0831" w:rsidRPr="002A0AA5">
              <w:rPr>
                <w:b/>
                <w:sz w:val="18"/>
                <w:szCs w:val="18"/>
                <w:lang w:val="fr-FR"/>
              </w:rPr>
              <w:t>QuARTA</w:t>
            </w:r>
            <w:proofErr w:type="spellEnd"/>
            <w:r w:rsidR="000E0831" w:rsidRPr="002A0AA5">
              <w:rPr>
                <w:b/>
                <w:sz w:val="18"/>
                <w:szCs w:val="18"/>
                <w:lang w:val="fr-FR"/>
              </w:rPr>
              <w:t xml:space="preserve"> </w:t>
            </w:r>
            <w:r w:rsidRPr="002A0AA5">
              <w:rPr>
                <w:b/>
                <w:sz w:val="18"/>
                <w:szCs w:val="18"/>
                <w:lang w:val="fr-FR"/>
              </w:rPr>
              <w:t>(Analyse quantitative des accords de transport routier)</w:t>
            </w:r>
            <w:r w:rsidRPr="002A0AA5">
              <w:rPr>
                <w:sz w:val="18"/>
                <w:szCs w:val="18"/>
                <w:lang w:val="fr-FR"/>
              </w:rPr>
              <w:t xml:space="preserve"> des accords bilatéraux de transport et de facilitation du transit.</w:t>
            </w:r>
          </w:p>
        </w:tc>
        <w:tc>
          <w:tcPr>
            <w:tcW w:w="1579" w:type="pct"/>
          </w:tcPr>
          <w:p w:rsidR="002C55E7" w:rsidRPr="002A0AA5" w:rsidRDefault="00832E9A" w:rsidP="003C4819">
            <w:pPr>
              <w:contextualSpacing/>
              <w:rPr>
                <w:sz w:val="18"/>
                <w:szCs w:val="18"/>
                <w:lang w:val="fr-FR"/>
              </w:rPr>
            </w:pPr>
            <w:r w:rsidRPr="002A0AA5">
              <w:rPr>
                <w:sz w:val="18"/>
                <w:szCs w:val="18"/>
                <w:lang w:val="fr-FR"/>
              </w:rPr>
              <w:t xml:space="preserve">Cette </w:t>
            </w:r>
            <w:r w:rsidR="00273D9D" w:rsidRPr="002A0AA5">
              <w:rPr>
                <w:sz w:val="18"/>
                <w:szCs w:val="18"/>
                <w:lang w:val="fr-FR"/>
              </w:rPr>
              <w:t>analyse</w:t>
            </w:r>
            <w:r w:rsidRPr="002A0AA5">
              <w:rPr>
                <w:sz w:val="18"/>
                <w:szCs w:val="18"/>
                <w:lang w:val="fr-FR"/>
              </w:rPr>
              <w:t xml:space="preserve"> identifie les caractéristiques définissant les </w:t>
            </w:r>
            <w:r w:rsidR="00273D9D" w:rsidRPr="002A0AA5">
              <w:rPr>
                <w:sz w:val="18"/>
                <w:szCs w:val="18"/>
                <w:lang w:val="fr-FR"/>
              </w:rPr>
              <w:t xml:space="preserve">spécificités </w:t>
            </w:r>
            <w:r w:rsidRPr="002A0AA5">
              <w:rPr>
                <w:sz w:val="18"/>
                <w:szCs w:val="18"/>
                <w:lang w:val="fr-FR"/>
              </w:rPr>
              <w:t xml:space="preserve">des accords régionaux de transport routier et les implications qu'ils peuvent induire sur l'intégration du marché. </w:t>
            </w:r>
            <w:r w:rsidR="00B05474" w:rsidRPr="002A0AA5">
              <w:rPr>
                <w:sz w:val="18"/>
                <w:szCs w:val="18"/>
                <w:lang w:val="fr-FR"/>
              </w:rPr>
              <w:t>Elle</w:t>
            </w:r>
            <w:r w:rsidRPr="002A0AA5">
              <w:rPr>
                <w:sz w:val="18"/>
                <w:szCs w:val="18"/>
                <w:lang w:val="fr-FR"/>
              </w:rPr>
              <w:t xml:space="preserve"> est destiné</w:t>
            </w:r>
            <w:r w:rsidR="00B05474" w:rsidRPr="002A0AA5">
              <w:rPr>
                <w:sz w:val="18"/>
                <w:szCs w:val="18"/>
                <w:lang w:val="fr-FR"/>
              </w:rPr>
              <w:t>e</w:t>
            </w:r>
            <w:r w:rsidRPr="002A0AA5">
              <w:rPr>
                <w:sz w:val="18"/>
                <w:szCs w:val="18"/>
                <w:lang w:val="fr-FR"/>
              </w:rPr>
              <w:t xml:space="preserve"> à guider les pays dans leurs efforts pour réformer leur</w:t>
            </w:r>
            <w:r w:rsidR="00B05474" w:rsidRPr="002A0AA5">
              <w:rPr>
                <w:sz w:val="18"/>
                <w:szCs w:val="18"/>
                <w:lang w:val="fr-FR"/>
              </w:rPr>
              <w:t>s</w:t>
            </w:r>
            <w:r w:rsidRPr="002A0AA5">
              <w:rPr>
                <w:sz w:val="18"/>
                <w:szCs w:val="18"/>
                <w:lang w:val="fr-FR"/>
              </w:rPr>
              <w:t xml:space="preserve"> secteur</w:t>
            </w:r>
            <w:r w:rsidR="00B05474" w:rsidRPr="002A0AA5">
              <w:rPr>
                <w:sz w:val="18"/>
                <w:szCs w:val="18"/>
                <w:lang w:val="fr-FR"/>
              </w:rPr>
              <w:t>s</w:t>
            </w:r>
            <w:r w:rsidRPr="002A0AA5">
              <w:rPr>
                <w:sz w:val="18"/>
                <w:szCs w:val="18"/>
                <w:lang w:val="fr-FR"/>
              </w:rPr>
              <w:t xml:space="preserve"> des transports routiers.</w:t>
            </w:r>
          </w:p>
          <w:p w:rsidR="002A0AA5" w:rsidRPr="002A0AA5" w:rsidRDefault="002A0AA5" w:rsidP="003C4819">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171" w:type="pct"/>
          </w:tcPr>
          <w:p w:rsidR="002C55E7" w:rsidRPr="002A0AA5" w:rsidRDefault="002C55E7" w:rsidP="00847E7F">
            <w:pPr>
              <w:contextualSpacing/>
              <w:rPr>
                <w:lang w:val="fr-FR"/>
              </w:rPr>
            </w:pPr>
          </w:p>
        </w:tc>
        <w:tc>
          <w:tcPr>
            <w:tcW w:w="171" w:type="pct"/>
          </w:tcPr>
          <w:p w:rsidR="002C55E7" w:rsidRPr="002A0AA5" w:rsidRDefault="002C55E7" w:rsidP="00847E7F">
            <w:pPr>
              <w:contextualSpacing/>
              <w:rPr>
                <w:lang w:val="fr-FR"/>
              </w:rPr>
            </w:pPr>
          </w:p>
        </w:tc>
        <w:tc>
          <w:tcPr>
            <w:tcW w:w="205" w:type="pct"/>
          </w:tcPr>
          <w:p w:rsidR="002C55E7" w:rsidRPr="002A0AA5" w:rsidRDefault="002C55E7" w:rsidP="00847E7F">
            <w:pPr>
              <w:contextualSpacing/>
              <w:rPr>
                <w:lang w:val="fr-FR"/>
              </w:rPr>
            </w:pPr>
          </w:p>
        </w:tc>
        <w:tc>
          <w:tcPr>
            <w:tcW w:w="1679" w:type="pct"/>
          </w:tcPr>
          <w:p w:rsidR="002C55E7" w:rsidRPr="002A0AA5" w:rsidRDefault="002C55E7" w:rsidP="00847E7F">
            <w:pPr>
              <w:contextualSpacing/>
              <w:rPr>
                <w:lang w:val="fr-FR"/>
              </w:rPr>
            </w:pPr>
          </w:p>
        </w:tc>
      </w:tr>
      <w:tr w:rsidR="000E0831" w:rsidRPr="007C077B" w:rsidTr="007350D1">
        <w:tc>
          <w:tcPr>
            <w:tcW w:w="785" w:type="pct"/>
          </w:tcPr>
          <w:p w:rsidR="002C55E7" w:rsidRPr="002A0AA5" w:rsidRDefault="00B05474" w:rsidP="00AF7AC7">
            <w:pPr>
              <w:rPr>
                <w:sz w:val="18"/>
                <w:szCs w:val="18"/>
                <w:lang w:val="fr-FR"/>
              </w:rPr>
            </w:pPr>
            <w:r w:rsidRPr="002A0AA5">
              <w:rPr>
                <w:b/>
                <w:sz w:val="18"/>
                <w:szCs w:val="18"/>
                <w:lang w:val="fr-FR"/>
              </w:rPr>
              <w:t>Conventions de l'ONU sur la facilitation</w:t>
            </w:r>
          </w:p>
        </w:tc>
        <w:tc>
          <w:tcPr>
            <w:tcW w:w="1579" w:type="pct"/>
          </w:tcPr>
          <w:p w:rsidR="002C55E7" w:rsidRPr="002A0AA5" w:rsidRDefault="00B05474" w:rsidP="003C4819">
            <w:pPr>
              <w:contextualSpacing/>
              <w:rPr>
                <w:sz w:val="18"/>
                <w:szCs w:val="18"/>
                <w:lang w:val="fr-FR"/>
              </w:rPr>
            </w:pPr>
            <w:r w:rsidRPr="002A0AA5">
              <w:rPr>
                <w:sz w:val="18"/>
                <w:szCs w:val="18"/>
                <w:lang w:val="fr-FR"/>
              </w:rPr>
              <w:t>Plaidoyer pour l'adoption et l'utilisation des conventions de l'ONU en tant que modèles pour faciliter le transit et le c</w:t>
            </w:r>
            <w:r w:rsidR="003C4819" w:rsidRPr="002A0AA5">
              <w:rPr>
                <w:sz w:val="18"/>
                <w:szCs w:val="18"/>
                <w:lang w:val="fr-FR"/>
              </w:rPr>
              <w:t>om</w:t>
            </w:r>
            <w:r w:rsidRPr="002A0AA5">
              <w:rPr>
                <w:sz w:val="18"/>
                <w:szCs w:val="18"/>
                <w:lang w:val="fr-FR"/>
              </w:rPr>
              <w:t xml:space="preserve">merce </w:t>
            </w:r>
            <w:r w:rsidR="00273D9D" w:rsidRPr="002A0AA5">
              <w:rPr>
                <w:sz w:val="18"/>
                <w:szCs w:val="18"/>
                <w:lang w:val="fr-FR"/>
              </w:rPr>
              <w:t>au niveau régional</w:t>
            </w:r>
            <w:r w:rsidRPr="002A0AA5">
              <w:rPr>
                <w:sz w:val="18"/>
                <w:szCs w:val="18"/>
                <w:lang w:val="fr-FR"/>
              </w:rPr>
              <w:t>.</w:t>
            </w:r>
          </w:p>
          <w:p w:rsidR="002A0AA5" w:rsidRPr="002A0AA5" w:rsidRDefault="002A0AA5" w:rsidP="003C4819">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205" w:type="pct"/>
          </w:tcPr>
          <w:p w:rsidR="002C55E7" w:rsidRPr="002A0AA5" w:rsidRDefault="002C55E7" w:rsidP="00847E7F">
            <w:pPr>
              <w:contextualSpacing/>
              <w:rPr>
                <w:sz w:val="18"/>
                <w:szCs w:val="18"/>
                <w:lang w:val="fr-FR"/>
              </w:rPr>
            </w:pPr>
          </w:p>
        </w:tc>
        <w:tc>
          <w:tcPr>
            <w:tcW w:w="171" w:type="pct"/>
          </w:tcPr>
          <w:p w:rsidR="002C55E7" w:rsidRPr="002A0AA5" w:rsidRDefault="002C55E7" w:rsidP="00847E7F">
            <w:pPr>
              <w:contextualSpacing/>
              <w:rPr>
                <w:lang w:val="fr-FR"/>
              </w:rPr>
            </w:pPr>
          </w:p>
        </w:tc>
        <w:tc>
          <w:tcPr>
            <w:tcW w:w="171" w:type="pct"/>
          </w:tcPr>
          <w:p w:rsidR="002C55E7" w:rsidRPr="002A0AA5" w:rsidRDefault="002C55E7" w:rsidP="00847E7F">
            <w:pPr>
              <w:contextualSpacing/>
              <w:rPr>
                <w:lang w:val="fr-FR"/>
              </w:rPr>
            </w:pPr>
          </w:p>
        </w:tc>
        <w:tc>
          <w:tcPr>
            <w:tcW w:w="205" w:type="pct"/>
          </w:tcPr>
          <w:p w:rsidR="002C55E7" w:rsidRPr="002A0AA5" w:rsidRDefault="002C55E7" w:rsidP="00847E7F">
            <w:pPr>
              <w:contextualSpacing/>
              <w:rPr>
                <w:lang w:val="fr-FR"/>
              </w:rPr>
            </w:pPr>
          </w:p>
        </w:tc>
        <w:tc>
          <w:tcPr>
            <w:tcW w:w="1679" w:type="pct"/>
          </w:tcPr>
          <w:p w:rsidR="002C55E7" w:rsidRPr="002A0AA5" w:rsidRDefault="002C55E7" w:rsidP="00847E7F">
            <w:pPr>
              <w:contextualSpacing/>
              <w:rPr>
                <w:lang w:val="fr-FR"/>
              </w:rPr>
            </w:pPr>
          </w:p>
        </w:tc>
      </w:tr>
      <w:tr w:rsidR="00FC72E9" w:rsidRPr="007C077B" w:rsidTr="007350D1">
        <w:tc>
          <w:tcPr>
            <w:tcW w:w="785" w:type="pct"/>
          </w:tcPr>
          <w:p w:rsidR="00FC72E9" w:rsidRPr="002A0AA5" w:rsidRDefault="00B05474" w:rsidP="00B05474">
            <w:pPr>
              <w:rPr>
                <w:b/>
                <w:sz w:val="18"/>
                <w:szCs w:val="18"/>
                <w:lang w:val="fr-FR"/>
              </w:rPr>
            </w:pPr>
            <w:r w:rsidRPr="002A0AA5">
              <w:rPr>
                <w:b/>
                <w:sz w:val="18"/>
                <w:szCs w:val="18"/>
                <w:lang w:val="fr-FR"/>
              </w:rPr>
              <w:t>Harmonis</w:t>
            </w:r>
            <w:r w:rsidR="00AF7AC7" w:rsidRPr="002A0AA5">
              <w:rPr>
                <w:b/>
                <w:sz w:val="18"/>
                <w:szCs w:val="18"/>
                <w:lang w:val="fr-FR"/>
              </w:rPr>
              <w:t xml:space="preserve">ation </w:t>
            </w:r>
            <w:r w:rsidRPr="002A0AA5">
              <w:rPr>
                <w:b/>
                <w:sz w:val="18"/>
                <w:szCs w:val="18"/>
                <w:lang w:val="fr-FR"/>
              </w:rPr>
              <w:t xml:space="preserve">des </w:t>
            </w:r>
            <w:r w:rsidR="00AF7AC7" w:rsidRPr="002A0AA5">
              <w:rPr>
                <w:b/>
                <w:sz w:val="18"/>
                <w:szCs w:val="18"/>
                <w:lang w:val="fr-FR"/>
              </w:rPr>
              <w:t>norm</w:t>
            </w:r>
            <w:r w:rsidRPr="002A0AA5">
              <w:rPr>
                <w:b/>
                <w:sz w:val="18"/>
                <w:szCs w:val="18"/>
                <w:lang w:val="fr-FR"/>
              </w:rPr>
              <w:t>es et standards pour le réseau routier transafricain</w:t>
            </w:r>
          </w:p>
        </w:tc>
        <w:tc>
          <w:tcPr>
            <w:tcW w:w="1579" w:type="pct"/>
          </w:tcPr>
          <w:p w:rsidR="00FC72E9" w:rsidRPr="002A0AA5" w:rsidRDefault="00B05474" w:rsidP="003C4819">
            <w:pPr>
              <w:contextualSpacing/>
              <w:rPr>
                <w:sz w:val="18"/>
                <w:szCs w:val="18"/>
                <w:lang w:val="fr-FR"/>
              </w:rPr>
            </w:pPr>
            <w:r w:rsidRPr="002A0AA5">
              <w:rPr>
                <w:sz w:val="18"/>
                <w:szCs w:val="18"/>
                <w:lang w:val="fr-FR"/>
              </w:rPr>
              <w:t xml:space="preserve">Diffusion de l'accord intergouvernemental établi par la </w:t>
            </w:r>
            <w:r w:rsidR="00273D9D" w:rsidRPr="002A0AA5">
              <w:rPr>
                <w:sz w:val="18"/>
                <w:szCs w:val="18"/>
                <w:lang w:val="fr-FR"/>
              </w:rPr>
              <w:t xml:space="preserve">Commission de l'Union africaine, </w:t>
            </w:r>
            <w:r w:rsidRPr="002A0AA5">
              <w:rPr>
                <w:sz w:val="18"/>
                <w:szCs w:val="18"/>
                <w:lang w:val="fr-FR"/>
              </w:rPr>
              <w:t>qui sera présenté pour approbation à la prochaine Conférence des ministres africains des Transports.</w:t>
            </w:r>
          </w:p>
          <w:p w:rsidR="002A0AA5" w:rsidRPr="002A0AA5" w:rsidRDefault="002A0AA5" w:rsidP="003C4819">
            <w:pPr>
              <w:contextualSpacing/>
              <w:rPr>
                <w:sz w:val="18"/>
                <w:szCs w:val="18"/>
                <w:lang w:val="fr-FR"/>
              </w:rPr>
            </w:pPr>
          </w:p>
        </w:tc>
        <w:tc>
          <w:tcPr>
            <w:tcW w:w="205" w:type="pct"/>
          </w:tcPr>
          <w:p w:rsidR="00FC72E9" w:rsidRPr="002A0AA5" w:rsidRDefault="00FC72E9" w:rsidP="00847E7F">
            <w:pPr>
              <w:contextualSpacing/>
              <w:rPr>
                <w:sz w:val="18"/>
                <w:szCs w:val="18"/>
                <w:lang w:val="fr-FR"/>
              </w:rPr>
            </w:pPr>
          </w:p>
        </w:tc>
        <w:tc>
          <w:tcPr>
            <w:tcW w:w="205" w:type="pct"/>
          </w:tcPr>
          <w:p w:rsidR="00FC72E9" w:rsidRPr="002A0AA5" w:rsidRDefault="00FC72E9" w:rsidP="00847E7F">
            <w:pPr>
              <w:contextualSpacing/>
              <w:rPr>
                <w:sz w:val="18"/>
                <w:szCs w:val="18"/>
                <w:lang w:val="fr-FR"/>
              </w:rPr>
            </w:pPr>
          </w:p>
        </w:tc>
        <w:tc>
          <w:tcPr>
            <w:tcW w:w="171" w:type="pct"/>
          </w:tcPr>
          <w:p w:rsidR="00FC72E9" w:rsidRPr="002A0AA5" w:rsidRDefault="00FC72E9" w:rsidP="00847E7F">
            <w:pPr>
              <w:contextualSpacing/>
              <w:rPr>
                <w:lang w:val="fr-FR"/>
              </w:rPr>
            </w:pPr>
          </w:p>
        </w:tc>
        <w:tc>
          <w:tcPr>
            <w:tcW w:w="171" w:type="pct"/>
          </w:tcPr>
          <w:p w:rsidR="00FC72E9" w:rsidRPr="002A0AA5" w:rsidRDefault="00FC72E9" w:rsidP="00847E7F">
            <w:pPr>
              <w:contextualSpacing/>
              <w:rPr>
                <w:lang w:val="fr-FR"/>
              </w:rPr>
            </w:pPr>
          </w:p>
        </w:tc>
        <w:tc>
          <w:tcPr>
            <w:tcW w:w="205" w:type="pct"/>
          </w:tcPr>
          <w:p w:rsidR="00FC72E9" w:rsidRPr="002A0AA5" w:rsidRDefault="00FC72E9" w:rsidP="00847E7F">
            <w:pPr>
              <w:contextualSpacing/>
              <w:rPr>
                <w:lang w:val="fr-FR"/>
              </w:rPr>
            </w:pPr>
          </w:p>
        </w:tc>
        <w:tc>
          <w:tcPr>
            <w:tcW w:w="1679" w:type="pct"/>
          </w:tcPr>
          <w:p w:rsidR="00FC72E9" w:rsidRPr="002A0AA5" w:rsidRDefault="00FC72E9" w:rsidP="00847E7F">
            <w:pPr>
              <w:contextualSpacing/>
              <w:rPr>
                <w:lang w:val="fr-FR"/>
              </w:rPr>
            </w:pPr>
          </w:p>
        </w:tc>
      </w:tr>
    </w:tbl>
    <w:p w:rsidR="00EE1EB7" w:rsidRDefault="00EE1EB7">
      <w:pPr>
        <w:rPr>
          <w:rFonts w:cs="Times New Roman"/>
          <w:b/>
          <w:color w:val="000000"/>
          <w:lang w:val="fr-FR"/>
        </w:rPr>
      </w:pPr>
      <w:r>
        <w:rPr>
          <w:rFonts w:cs="Times New Roman"/>
          <w:b/>
          <w:color w:val="000000"/>
          <w:lang w:val="fr-FR"/>
        </w:rPr>
        <w:br w:type="page"/>
      </w:r>
    </w:p>
    <w:p w:rsidR="004A79BF" w:rsidRPr="00541A92" w:rsidRDefault="00541A92" w:rsidP="002A0AA5">
      <w:pPr>
        <w:spacing w:line="240" w:lineRule="auto"/>
        <w:rPr>
          <w:b/>
          <w:lang w:val="fr-FR"/>
        </w:rPr>
      </w:pPr>
      <w:r w:rsidRPr="00541A92">
        <w:rPr>
          <w:rFonts w:cs="Times New Roman"/>
          <w:b/>
          <w:color w:val="000000"/>
          <w:lang w:val="fr-FR"/>
        </w:rPr>
        <w:lastRenderedPageBreak/>
        <w:t>LE FER DE LANCE DU DEVELOPPEMENT DE POLITIQUES DE TRANSPORT EN AFRIQUE - APERÇU DES PROJETS PHARES DU SSATP</w:t>
      </w:r>
    </w:p>
    <w:tbl>
      <w:tblPr>
        <w:tblStyle w:val="TableGrid"/>
        <w:tblW w:w="0" w:type="auto"/>
        <w:tblLayout w:type="fixed"/>
        <w:tblLook w:val="04A0" w:firstRow="1" w:lastRow="0" w:firstColumn="1" w:lastColumn="0" w:noHBand="0" w:noVBand="1"/>
      </w:tblPr>
      <w:tblGrid>
        <w:gridCol w:w="1907"/>
        <w:gridCol w:w="4141"/>
        <w:gridCol w:w="450"/>
        <w:gridCol w:w="450"/>
        <w:gridCol w:w="450"/>
        <w:gridCol w:w="450"/>
        <w:gridCol w:w="540"/>
        <w:gridCol w:w="4770"/>
      </w:tblGrid>
      <w:tr w:rsidR="007350D1" w:rsidRPr="00E25667" w:rsidTr="002A0AA5">
        <w:trPr>
          <w:tblHeader/>
        </w:trPr>
        <w:tc>
          <w:tcPr>
            <w:tcW w:w="1907" w:type="dxa"/>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Titre de la session</w:t>
            </w:r>
          </w:p>
        </w:tc>
        <w:tc>
          <w:tcPr>
            <w:tcW w:w="4141" w:type="dxa"/>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Description</w:t>
            </w:r>
          </w:p>
        </w:tc>
        <w:tc>
          <w:tcPr>
            <w:tcW w:w="2340" w:type="dxa"/>
            <w:gridSpan w:val="5"/>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Comment classeriez-vous la séance? (Importance / pertinence du sujet)</w:t>
            </w:r>
          </w:p>
        </w:tc>
        <w:tc>
          <w:tcPr>
            <w:tcW w:w="4770" w:type="dxa"/>
            <w:vMerge w:val="restart"/>
            <w:shd w:val="clear" w:color="auto" w:fill="E5DFEC" w:themeFill="accent4" w:themeFillTint="33"/>
            <w:vAlign w:val="center"/>
          </w:tcPr>
          <w:p w:rsidR="007350D1" w:rsidRPr="002A0AA5" w:rsidRDefault="007350D1" w:rsidP="007350D1">
            <w:pPr>
              <w:contextualSpacing/>
              <w:jc w:val="center"/>
              <w:rPr>
                <w:b/>
                <w:i/>
                <w:sz w:val="18"/>
                <w:szCs w:val="18"/>
                <w:lang w:val="fr-FR"/>
              </w:rPr>
            </w:pPr>
            <w:r w:rsidRPr="002A0AA5">
              <w:rPr>
                <w:b/>
                <w:i/>
                <w:sz w:val="18"/>
                <w:szCs w:val="18"/>
                <w:lang w:val="fr-FR"/>
              </w:rPr>
              <w:t>Commentaires supplémentaires</w:t>
            </w:r>
          </w:p>
        </w:tc>
      </w:tr>
      <w:tr w:rsidR="00CA39C2" w:rsidRPr="00E25667" w:rsidTr="002A0AA5">
        <w:trPr>
          <w:tblHeader/>
        </w:trPr>
        <w:tc>
          <w:tcPr>
            <w:tcW w:w="1907" w:type="dxa"/>
            <w:vMerge/>
          </w:tcPr>
          <w:p w:rsidR="00E65EB7" w:rsidRPr="002A0AA5" w:rsidRDefault="00E65EB7" w:rsidP="00847E7F">
            <w:pPr>
              <w:contextualSpacing/>
              <w:rPr>
                <w:lang w:val="fr-FR"/>
              </w:rPr>
            </w:pPr>
          </w:p>
        </w:tc>
        <w:tc>
          <w:tcPr>
            <w:tcW w:w="4141" w:type="dxa"/>
            <w:vMerge/>
          </w:tcPr>
          <w:p w:rsidR="00E65EB7" w:rsidRPr="002A0AA5" w:rsidRDefault="00E65EB7" w:rsidP="00847E7F">
            <w:pPr>
              <w:contextualSpacing/>
              <w:rPr>
                <w:lang w:val="fr-FR"/>
              </w:rPr>
            </w:pPr>
          </w:p>
        </w:tc>
        <w:tc>
          <w:tcPr>
            <w:tcW w:w="450" w:type="dxa"/>
            <w:shd w:val="clear" w:color="auto" w:fill="E5DFEC" w:themeFill="accent4" w:themeFillTint="33"/>
          </w:tcPr>
          <w:p w:rsidR="00E65EB7" w:rsidRPr="002A0AA5" w:rsidRDefault="00E65EB7" w:rsidP="00847E7F">
            <w:pPr>
              <w:contextualSpacing/>
              <w:rPr>
                <w:b/>
                <w:sz w:val="18"/>
                <w:szCs w:val="18"/>
                <w:lang w:val="fr-FR"/>
              </w:rPr>
            </w:pPr>
            <w:r w:rsidRPr="002A0AA5">
              <w:rPr>
                <w:b/>
                <w:sz w:val="18"/>
                <w:szCs w:val="18"/>
                <w:lang w:val="fr-FR"/>
              </w:rPr>
              <w:t>0</w:t>
            </w:r>
          </w:p>
        </w:tc>
        <w:tc>
          <w:tcPr>
            <w:tcW w:w="450" w:type="dxa"/>
            <w:shd w:val="clear" w:color="auto" w:fill="E5DFEC" w:themeFill="accent4" w:themeFillTint="33"/>
          </w:tcPr>
          <w:p w:rsidR="00E65EB7" w:rsidRPr="002A0AA5" w:rsidRDefault="00E65EB7" w:rsidP="00847E7F">
            <w:pPr>
              <w:contextualSpacing/>
              <w:rPr>
                <w:b/>
                <w:sz w:val="18"/>
                <w:szCs w:val="18"/>
                <w:lang w:val="fr-FR"/>
              </w:rPr>
            </w:pPr>
            <w:r w:rsidRPr="002A0AA5">
              <w:rPr>
                <w:b/>
                <w:sz w:val="18"/>
                <w:szCs w:val="18"/>
                <w:lang w:val="fr-FR"/>
              </w:rPr>
              <w:t>1</w:t>
            </w:r>
          </w:p>
        </w:tc>
        <w:tc>
          <w:tcPr>
            <w:tcW w:w="450" w:type="dxa"/>
            <w:shd w:val="clear" w:color="auto" w:fill="E5DFEC" w:themeFill="accent4" w:themeFillTint="33"/>
          </w:tcPr>
          <w:p w:rsidR="00E65EB7" w:rsidRPr="002A0AA5" w:rsidRDefault="00E65EB7" w:rsidP="00847E7F">
            <w:pPr>
              <w:contextualSpacing/>
              <w:rPr>
                <w:b/>
                <w:sz w:val="18"/>
                <w:szCs w:val="18"/>
                <w:lang w:val="fr-FR"/>
              </w:rPr>
            </w:pPr>
            <w:r w:rsidRPr="002A0AA5">
              <w:rPr>
                <w:b/>
                <w:sz w:val="18"/>
                <w:szCs w:val="18"/>
                <w:lang w:val="fr-FR"/>
              </w:rPr>
              <w:t>2</w:t>
            </w:r>
          </w:p>
        </w:tc>
        <w:tc>
          <w:tcPr>
            <w:tcW w:w="450" w:type="dxa"/>
            <w:shd w:val="clear" w:color="auto" w:fill="E5DFEC" w:themeFill="accent4" w:themeFillTint="33"/>
          </w:tcPr>
          <w:p w:rsidR="00E65EB7" w:rsidRPr="002A0AA5" w:rsidRDefault="00E65EB7" w:rsidP="00847E7F">
            <w:pPr>
              <w:contextualSpacing/>
              <w:rPr>
                <w:b/>
                <w:sz w:val="18"/>
                <w:szCs w:val="18"/>
                <w:lang w:val="fr-FR"/>
              </w:rPr>
            </w:pPr>
            <w:r w:rsidRPr="002A0AA5">
              <w:rPr>
                <w:b/>
                <w:sz w:val="18"/>
                <w:szCs w:val="18"/>
                <w:lang w:val="fr-FR"/>
              </w:rPr>
              <w:t>3</w:t>
            </w:r>
          </w:p>
        </w:tc>
        <w:tc>
          <w:tcPr>
            <w:tcW w:w="540" w:type="dxa"/>
            <w:shd w:val="clear" w:color="auto" w:fill="E5DFEC" w:themeFill="accent4" w:themeFillTint="33"/>
          </w:tcPr>
          <w:p w:rsidR="00E65EB7" w:rsidRPr="002A0AA5" w:rsidRDefault="00E65EB7" w:rsidP="00847E7F">
            <w:pPr>
              <w:contextualSpacing/>
              <w:rPr>
                <w:b/>
                <w:sz w:val="18"/>
                <w:szCs w:val="18"/>
                <w:lang w:val="fr-FR"/>
              </w:rPr>
            </w:pPr>
            <w:r w:rsidRPr="002A0AA5">
              <w:rPr>
                <w:b/>
                <w:sz w:val="18"/>
                <w:szCs w:val="18"/>
                <w:lang w:val="fr-FR"/>
              </w:rPr>
              <w:t>4</w:t>
            </w:r>
          </w:p>
        </w:tc>
        <w:tc>
          <w:tcPr>
            <w:tcW w:w="4770" w:type="dxa"/>
            <w:vMerge/>
            <w:shd w:val="clear" w:color="auto" w:fill="E5DFEC" w:themeFill="accent4" w:themeFillTint="33"/>
          </w:tcPr>
          <w:p w:rsidR="00E65EB7" w:rsidRPr="002A0AA5" w:rsidRDefault="00E65EB7" w:rsidP="00847E7F">
            <w:pPr>
              <w:contextualSpacing/>
              <w:rPr>
                <w:lang w:val="fr-FR"/>
              </w:rPr>
            </w:pPr>
          </w:p>
        </w:tc>
      </w:tr>
      <w:tr w:rsidR="00CA39C2" w:rsidRPr="007C077B" w:rsidTr="00087517">
        <w:tc>
          <w:tcPr>
            <w:tcW w:w="1907" w:type="dxa"/>
          </w:tcPr>
          <w:p w:rsidR="00B05474" w:rsidRPr="002A0AA5" w:rsidRDefault="00B05474" w:rsidP="00B05474">
            <w:pPr>
              <w:contextualSpacing/>
              <w:rPr>
                <w:b/>
                <w:bCs/>
                <w:i/>
                <w:sz w:val="18"/>
                <w:szCs w:val="18"/>
                <w:lang w:val="fr-FR"/>
              </w:rPr>
            </w:pPr>
            <w:r w:rsidRPr="002A0AA5">
              <w:rPr>
                <w:b/>
                <w:bCs/>
                <w:sz w:val="18"/>
                <w:szCs w:val="18"/>
                <w:lang w:val="fr-FR"/>
              </w:rPr>
              <w:t xml:space="preserve">Présentation de la publication du SSATP : </w:t>
            </w:r>
            <w:r w:rsidRPr="002A0AA5">
              <w:rPr>
                <w:b/>
                <w:bCs/>
                <w:i/>
                <w:sz w:val="18"/>
                <w:szCs w:val="18"/>
                <w:lang w:val="fr-FR"/>
              </w:rPr>
              <w:t>La facilitation du transport et du commerce</w:t>
            </w:r>
          </w:p>
          <w:p w:rsidR="00B05474" w:rsidRPr="002A0AA5" w:rsidRDefault="00B05474" w:rsidP="00B05474">
            <w:pPr>
              <w:contextualSpacing/>
              <w:rPr>
                <w:b/>
                <w:bCs/>
                <w:sz w:val="18"/>
                <w:szCs w:val="18"/>
                <w:lang w:val="fr-FR"/>
              </w:rPr>
            </w:pPr>
            <w:r w:rsidRPr="002A0AA5">
              <w:rPr>
                <w:b/>
                <w:bCs/>
                <w:i/>
                <w:sz w:val="18"/>
                <w:szCs w:val="18"/>
                <w:lang w:val="fr-FR"/>
              </w:rPr>
              <w:t>en Afrique - un</w:t>
            </w:r>
            <w:r w:rsidR="00B01062" w:rsidRPr="002A0AA5">
              <w:rPr>
                <w:b/>
                <w:bCs/>
                <w:i/>
                <w:sz w:val="18"/>
                <w:szCs w:val="18"/>
                <w:lang w:val="fr-FR"/>
              </w:rPr>
              <w:t>e</w:t>
            </w:r>
            <w:r w:rsidRPr="002A0AA5">
              <w:rPr>
                <w:b/>
                <w:bCs/>
                <w:i/>
                <w:sz w:val="18"/>
                <w:szCs w:val="18"/>
                <w:lang w:val="fr-FR"/>
              </w:rPr>
              <w:t xml:space="preserve"> </w:t>
            </w:r>
            <w:r w:rsidR="00B01062" w:rsidRPr="002A0AA5">
              <w:rPr>
                <w:b/>
                <w:bCs/>
                <w:i/>
                <w:sz w:val="18"/>
                <w:szCs w:val="18"/>
                <w:lang w:val="fr-FR"/>
              </w:rPr>
              <w:t xml:space="preserve">revue </w:t>
            </w:r>
            <w:r w:rsidRPr="002A0AA5">
              <w:rPr>
                <w:b/>
                <w:bCs/>
                <w:i/>
                <w:sz w:val="18"/>
                <w:szCs w:val="18"/>
                <w:lang w:val="fr-FR"/>
              </w:rPr>
              <w:t>des instruments juridiques internationaux: traités, conventions, protocoles, décisions, directives</w:t>
            </w:r>
            <w:r w:rsidRPr="002A0AA5">
              <w:rPr>
                <w:b/>
                <w:bCs/>
                <w:sz w:val="18"/>
                <w:szCs w:val="18"/>
                <w:lang w:val="fr-FR"/>
              </w:rPr>
              <w:t>.</w:t>
            </w:r>
          </w:p>
          <w:p w:rsidR="00E65EB7" w:rsidRPr="002A0AA5" w:rsidRDefault="00E65EB7" w:rsidP="00847E7F">
            <w:pPr>
              <w:contextualSpacing/>
              <w:rPr>
                <w:sz w:val="18"/>
                <w:szCs w:val="18"/>
                <w:lang w:val="fr-FR"/>
              </w:rPr>
            </w:pPr>
          </w:p>
        </w:tc>
        <w:tc>
          <w:tcPr>
            <w:tcW w:w="4141" w:type="dxa"/>
          </w:tcPr>
          <w:p w:rsidR="00E65EB7" w:rsidRPr="002A0AA5" w:rsidRDefault="00B05474" w:rsidP="00B01062">
            <w:pPr>
              <w:rPr>
                <w:sz w:val="18"/>
                <w:szCs w:val="18"/>
                <w:lang w:val="fr-FR"/>
              </w:rPr>
            </w:pPr>
            <w:r w:rsidRPr="002A0AA5">
              <w:rPr>
                <w:sz w:val="18"/>
                <w:szCs w:val="18"/>
                <w:lang w:val="fr-FR"/>
              </w:rPr>
              <w:t xml:space="preserve">Cette publication est </w:t>
            </w:r>
            <w:r w:rsidR="0056790C" w:rsidRPr="002A0AA5">
              <w:rPr>
                <w:sz w:val="18"/>
                <w:szCs w:val="18"/>
                <w:lang w:val="fr-FR"/>
              </w:rPr>
              <w:t>le deuxième</w:t>
            </w:r>
            <w:r w:rsidRPr="002A0AA5">
              <w:rPr>
                <w:sz w:val="18"/>
                <w:szCs w:val="18"/>
                <w:lang w:val="fr-FR"/>
              </w:rPr>
              <w:t xml:space="preserve"> inventaire du </w:t>
            </w:r>
            <w:r w:rsidR="0056790C" w:rsidRPr="002A0AA5">
              <w:rPr>
                <w:sz w:val="18"/>
                <w:szCs w:val="18"/>
                <w:lang w:val="fr-FR"/>
              </w:rPr>
              <w:t>c</w:t>
            </w:r>
            <w:r w:rsidRPr="002A0AA5">
              <w:rPr>
                <w:sz w:val="18"/>
                <w:szCs w:val="18"/>
                <w:lang w:val="fr-FR"/>
              </w:rPr>
              <w:t xml:space="preserve">adre juridique du commerce </w:t>
            </w:r>
            <w:r w:rsidR="0056790C" w:rsidRPr="002A0AA5">
              <w:rPr>
                <w:sz w:val="18"/>
                <w:szCs w:val="18"/>
                <w:lang w:val="fr-FR"/>
              </w:rPr>
              <w:t xml:space="preserve">et du transport </w:t>
            </w:r>
            <w:r w:rsidRPr="002A0AA5">
              <w:rPr>
                <w:sz w:val="18"/>
                <w:szCs w:val="18"/>
                <w:lang w:val="fr-FR"/>
              </w:rPr>
              <w:t>en Afrique, après une première édition publiée en 2004. En se concentrant sur l'ensemble du continent plutôt que l'Afri</w:t>
            </w:r>
            <w:r w:rsidR="0056790C" w:rsidRPr="002A0AA5">
              <w:rPr>
                <w:sz w:val="18"/>
                <w:szCs w:val="18"/>
                <w:lang w:val="fr-FR"/>
              </w:rPr>
              <w:t>que sub-saharienne seulement, ce document</w:t>
            </w:r>
            <w:r w:rsidRPr="002A0AA5">
              <w:rPr>
                <w:sz w:val="18"/>
                <w:szCs w:val="18"/>
                <w:lang w:val="fr-FR"/>
              </w:rPr>
              <w:t xml:space="preserve"> met l'accent sur le rôle des instruments juridiques en matière de facilitation des échanges commerciaux au sein des sous-régions africaines, </w:t>
            </w:r>
            <w:r w:rsidR="0056790C" w:rsidRPr="002A0AA5">
              <w:rPr>
                <w:sz w:val="18"/>
                <w:szCs w:val="18"/>
                <w:lang w:val="fr-FR"/>
              </w:rPr>
              <w:t>permettant</w:t>
            </w:r>
            <w:r w:rsidRPr="002A0AA5">
              <w:rPr>
                <w:sz w:val="18"/>
                <w:szCs w:val="18"/>
                <w:lang w:val="fr-FR"/>
              </w:rPr>
              <w:t xml:space="preserve"> ainsi une meilleure intégration économique régionale. Ce</w:t>
            </w:r>
            <w:r w:rsidR="00B01062" w:rsidRPr="002A0AA5">
              <w:rPr>
                <w:sz w:val="18"/>
                <w:szCs w:val="18"/>
                <w:lang w:val="fr-FR"/>
              </w:rPr>
              <w:t>tte</w:t>
            </w:r>
            <w:r w:rsidRPr="002A0AA5">
              <w:rPr>
                <w:sz w:val="18"/>
                <w:szCs w:val="18"/>
                <w:lang w:val="fr-FR"/>
              </w:rPr>
              <w:t xml:space="preserve"> deuxième </w:t>
            </w:r>
            <w:r w:rsidR="00B01062" w:rsidRPr="002A0AA5">
              <w:rPr>
                <w:sz w:val="18"/>
                <w:szCs w:val="18"/>
                <w:lang w:val="fr-FR"/>
              </w:rPr>
              <w:t xml:space="preserve">édition </w:t>
            </w:r>
            <w:r w:rsidRPr="002A0AA5">
              <w:rPr>
                <w:sz w:val="18"/>
                <w:szCs w:val="18"/>
                <w:lang w:val="fr-FR"/>
              </w:rPr>
              <w:t xml:space="preserve">énumère environ 140 conventions et accords (y compris </w:t>
            </w:r>
            <w:r w:rsidR="0056790C" w:rsidRPr="002A0AA5">
              <w:rPr>
                <w:sz w:val="18"/>
                <w:szCs w:val="18"/>
                <w:lang w:val="fr-FR"/>
              </w:rPr>
              <w:t>dans le secteur du</w:t>
            </w:r>
            <w:r w:rsidRPr="002A0AA5">
              <w:rPr>
                <w:sz w:val="18"/>
                <w:szCs w:val="18"/>
                <w:lang w:val="fr-FR"/>
              </w:rPr>
              <w:t xml:space="preserve"> transport aérien) </w:t>
            </w:r>
            <w:r w:rsidR="00B01062" w:rsidRPr="002A0AA5">
              <w:rPr>
                <w:sz w:val="18"/>
                <w:szCs w:val="18"/>
                <w:lang w:val="fr-FR"/>
              </w:rPr>
              <w:t xml:space="preserve">ce qui traduit le développement considérable de </w:t>
            </w:r>
            <w:r w:rsidRPr="002A0AA5">
              <w:rPr>
                <w:sz w:val="18"/>
                <w:szCs w:val="18"/>
                <w:lang w:val="fr-FR"/>
              </w:rPr>
              <w:t>la coopération entre les pays africains au cours de la dernière décennie.</w:t>
            </w:r>
          </w:p>
          <w:p w:rsidR="002A0AA5" w:rsidRPr="002A0AA5" w:rsidRDefault="002A0AA5" w:rsidP="00B01062">
            <w:pPr>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540" w:type="dxa"/>
          </w:tcPr>
          <w:p w:rsidR="00E65EB7" w:rsidRPr="002A0AA5" w:rsidRDefault="00E65EB7" w:rsidP="00847E7F">
            <w:pPr>
              <w:contextualSpacing/>
              <w:rPr>
                <w:sz w:val="18"/>
                <w:szCs w:val="18"/>
                <w:lang w:val="fr-FR"/>
              </w:rPr>
            </w:pPr>
          </w:p>
        </w:tc>
        <w:tc>
          <w:tcPr>
            <w:tcW w:w="4770" w:type="dxa"/>
          </w:tcPr>
          <w:p w:rsidR="00E65EB7" w:rsidRPr="002A0AA5" w:rsidRDefault="00E65EB7" w:rsidP="00847E7F">
            <w:pPr>
              <w:contextualSpacing/>
              <w:rPr>
                <w:sz w:val="18"/>
                <w:szCs w:val="18"/>
                <w:lang w:val="fr-FR"/>
              </w:rPr>
            </w:pPr>
          </w:p>
        </w:tc>
      </w:tr>
      <w:tr w:rsidR="00CA39C2" w:rsidRPr="007C077B" w:rsidTr="00087517">
        <w:trPr>
          <w:trHeight w:val="2150"/>
        </w:trPr>
        <w:tc>
          <w:tcPr>
            <w:tcW w:w="1907" w:type="dxa"/>
          </w:tcPr>
          <w:p w:rsidR="00E65EB7" w:rsidRPr="002A0AA5" w:rsidRDefault="0056790C" w:rsidP="0056790C">
            <w:pPr>
              <w:contextualSpacing/>
              <w:rPr>
                <w:sz w:val="18"/>
                <w:szCs w:val="18"/>
                <w:lang w:val="fr-FR"/>
              </w:rPr>
            </w:pPr>
            <w:r w:rsidRPr="002A0AA5">
              <w:rPr>
                <w:b/>
                <w:sz w:val="18"/>
                <w:szCs w:val="18"/>
                <w:lang w:val="fr-FR"/>
              </w:rPr>
              <w:t>Evaluation des performances des politiques de transport en Afrique sub-saharienne.</w:t>
            </w:r>
          </w:p>
        </w:tc>
        <w:tc>
          <w:tcPr>
            <w:tcW w:w="4141" w:type="dxa"/>
          </w:tcPr>
          <w:p w:rsidR="00E65EB7" w:rsidRPr="002A0AA5" w:rsidRDefault="0056790C" w:rsidP="00A84C58">
            <w:pPr>
              <w:contextualSpacing/>
              <w:rPr>
                <w:sz w:val="18"/>
                <w:szCs w:val="18"/>
                <w:lang w:val="fr-FR"/>
              </w:rPr>
            </w:pPr>
            <w:r w:rsidRPr="002A0AA5">
              <w:rPr>
                <w:sz w:val="18"/>
                <w:szCs w:val="18"/>
                <w:lang w:val="fr-FR"/>
              </w:rPr>
              <w:t xml:space="preserve">Cette publication vise à évaluer la performance de plusieurs politiques du secteur des transports, des stratégies et des initiatives menées en Afrique sub-saharienne, avec le soutien des </w:t>
            </w:r>
            <w:r w:rsidR="00A84C58" w:rsidRPr="002A0AA5">
              <w:rPr>
                <w:sz w:val="18"/>
                <w:szCs w:val="18"/>
                <w:lang w:val="fr-FR"/>
              </w:rPr>
              <w:t>partenaires au développement</w:t>
            </w:r>
            <w:r w:rsidRPr="002A0AA5">
              <w:rPr>
                <w:sz w:val="18"/>
                <w:szCs w:val="18"/>
                <w:lang w:val="fr-FR"/>
              </w:rPr>
              <w:t xml:space="preserve">. Elle se concentre sur l'évaluation de la performance des politiques et des progrès en ce qui concerne </w:t>
            </w:r>
            <w:r w:rsidR="009D1728" w:rsidRPr="002A0AA5">
              <w:rPr>
                <w:sz w:val="18"/>
                <w:szCs w:val="18"/>
                <w:lang w:val="fr-FR"/>
              </w:rPr>
              <w:t xml:space="preserve">les thèmes du </w:t>
            </w:r>
            <w:r w:rsidRPr="002A0AA5">
              <w:rPr>
                <w:sz w:val="18"/>
                <w:szCs w:val="18"/>
                <w:lang w:val="fr-FR"/>
              </w:rPr>
              <w:t xml:space="preserve">Deuxième plan de développement du SSATP (DP2), suite à la création de plusieurs agences routières et de fonds routiers, ainsi que </w:t>
            </w:r>
            <w:r w:rsidR="009D1728" w:rsidRPr="002A0AA5">
              <w:rPr>
                <w:sz w:val="18"/>
                <w:szCs w:val="18"/>
                <w:lang w:val="fr-FR"/>
              </w:rPr>
              <w:t>d</w:t>
            </w:r>
            <w:r w:rsidRPr="002A0AA5">
              <w:rPr>
                <w:sz w:val="18"/>
                <w:szCs w:val="18"/>
                <w:lang w:val="fr-FR"/>
              </w:rPr>
              <w:t xml:space="preserve">es agences de corridors </w:t>
            </w:r>
            <w:r w:rsidR="00847E7F" w:rsidRPr="002A0AA5">
              <w:rPr>
                <w:sz w:val="18"/>
                <w:szCs w:val="18"/>
                <w:lang w:val="fr-FR"/>
              </w:rPr>
              <w:t>multinationales</w:t>
            </w:r>
            <w:r w:rsidRPr="002A0AA5">
              <w:rPr>
                <w:sz w:val="18"/>
                <w:szCs w:val="18"/>
                <w:lang w:val="fr-FR"/>
              </w:rPr>
              <w:t>.</w:t>
            </w:r>
          </w:p>
          <w:p w:rsidR="002A0AA5" w:rsidRPr="002A0AA5" w:rsidRDefault="002A0AA5" w:rsidP="00A84C58">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540" w:type="dxa"/>
          </w:tcPr>
          <w:p w:rsidR="00E65EB7" w:rsidRPr="002A0AA5" w:rsidRDefault="00E65EB7" w:rsidP="00847E7F">
            <w:pPr>
              <w:contextualSpacing/>
              <w:rPr>
                <w:sz w:val="18"/>
                <w:szCs w:val="18"/>
                <w:lang w:val="fr-FR"/>
              </w:rPr>
            </w:pPr>
          </w:p>
        </w:tc>
        <w:tc>
          <w:tcPr>
            <w:tcW w:w="4770" w:type="dxa"/>
          </w:tcPr>
          <w:p w:rsidR="00E65EB7" w:rsidRPr="002A0AA5" w:rsidRDefault="00E65EB7" w:rsidP="00847E7F">
            <w:pPr>
              <w:contextualSpacing/>
              <w:rPr>
                <w:sz w:val="18"/>
                <w:szCs w:val="18"/>
                <w:lang w:val="fr-FR"/>
              </w:rPr>
            </w:pPr>
          </w:p>
        </w:tc>
      </w:tr>
      <w:tr w:rsidR="00CA39C2" w:rsidRPr="007C077B" w:rsidTr="00087517">
        <w:trPr>
          <w:cantSplit/>
        </w:trPr>
        <w:tc>
          <w:tcPr>
            <w:tcW w:w="1907" w:type="dxa"/>
          </w:tcPr>
          <w:p w:rsidR="00E65EB7" w:rsidRPr="002A0AA5" w:rsidRDefault="00847E7F" w:rsidP="00847E7F">
            <w:pPr>
              <w:rPr>
                <w:b/>
                <w:sz w:val="18"/>
                <w:szCs w:val="18"/>
                <w:lang w:val="fr-FR"/>
              </w:rPr>
            </w:pPr>
            <w:r w:rsidRPr="002A0AA5">
              <w:rPr>
                <w:b/>
                <w:sz w:val="18"/>
                <w:szCs w:val="18"/>
                <w:lang w:val="fr-FR"/>
              </w:rPr>
              <w:t>Examen du SSATP des partenariats public-privé (PPP) dans le secteur routier</w:t>
            </w:r>
          </w:p>
          <w:p w:rsidR="00847E7F" w:rsidRPr="002A0AA5" w:rsidRDefault="00847E7F" w:rsidP="00847E7F">
            <w:pPr>
              <w:rPr>
                <w:b/>
                <w:sz w:val="18"/>
                <w:szCs w:val="18"/>
                <w:lang w:val="fr-FR"/>
              </w:rPr>
            </w:pPr>
          </w:p>
        </w:tc>
        <w:tc>
          <w:tcPr>
            <w:tcW w:w="4141" w:type="dxa"/>
          </w:tcPr>
          <w:p w:rsidR="00273D9D" w:rsidRPr="002A0AA5" w:rsidRDefault="00847E7F" w:rsidP="00326414">
            <w:pPr>
              <w:contextualSpacing/>
              <w:rPr>
                <w:sz w:val="18"/>
                <w:szCs w:val="18"/>
                <w:lang w:val="fr-FR"/>
              </w:rPr>
            </w:pPr>
            <w:r w:rsidRPr="002A0AA5">
              <w:rPr>
                <w:sz w:val="18"/>
                <w:szCs w:val="18"/>
                <w:lang w:val="fr-FR"/>
              </w:rPr>
              <w:t xml:space="preserve">Cet examen rassemble les bonnes pratiques </w:t>
            </w:r>
            <w:r w:rsidR="00A84C58" w:rsidRPr="002A0AA5">
              <w:rPr>
                <w:sz w:val="18"/>
                <w:szCs w:val="18"/>
                <w:lang w:val="fr-FR"/>
              </w:rPr>
              <w:t>de partenariat public-privé</w:t>
            </w:r>
            <w:r w:rsidRPr="002A0AA5">
              <w:rPr>
                <w:sz w:val="18"/>
                <w:szCs w:val="18"/>
                <w:lang w:val="fr-FR"/>
              </w:rPr>
              <w:t xml:space="preserve"> dans le financement, </w:t>
            </w:r>
            <w:r w:rsidR="00326414" w:rsidRPr="002A0AA5">
              <w:rPr>
                <w:sz w:val="18"/>
                <w:szCs w:val="18"/>
                <w:lang w:val="fr-FR"/>
              </w:rPr>
              <w:t xml:space="preserve">la mise à disposition </w:t>
            </w:r>
            <w:r w:rsidRPr="002A0AA5">
              <w:rPr>
                <w:sz w:val="18"/>
                <w:szCs w:val="18"/>
                <w:lang w:val="fr-FR"/>
              </w:rPr>
              <w:t xml:space="preserve">et la gestion des routes, et </w:t>
            </w:r>
            <w:r w:rsidR="00326414" w:rsidRPr="002A0AA5">
              <w:rPr>
                <w:sz w:val="18"/>
                <w:szCs w:val="18"/>
                <w:lang w:val="fr-FR"/>
              </w:rPr>
              <w:t xml:space="preserve">permet </w:t>
            </w:r>
            <w:r w:rsidRPr="002A0AA5">
              <w:rPr>
                <w:sz w:val="18"/>
                <w:szCs w:val="18"/>
                <w:lang w:val="fr-FR"/>
              </w:rPr>
              <w:t xml:space="preserve">une compréhension approfondie des enjeux et principes clés relatifs à ce secteur, notamment </w:t>
            </w:r>
            <w:r w:rsidR="00A0091C" w:rsidRPr="002A0AA5">
              <w:rPr>
                <w:sz w:val="18"/>
                <w:szCs w:val="18"/>
                <w:lang w:val="fr-FR"/>
              </w:rPr>
              <w:t>sur le</w:t>
            </w:r>
            <w:r w:rsidRPr="002A0AA5">
              <w:rPr>
                <w:sz w:val="18"/>
                <w:szCs w:val="18"/>
                <w:lang w:val="fr-FR"/>
              </w:rPr>
              <w:t xml:space="preserve">s perspectives et </w:t>
            </w:r>
            <w:r w:rsidR="00A0091C" w:rsidRPr="002A0AA5">
              <w:rPr>
                <w:sz w:val="18"/>
                <w:szCs w:val="18"/>
                <w:lang w:val="fr-FR"/>
              </w:rPr>
              <w:t>l</w:t>
            </w:r>
            <w:r w:rsidRPr="002A0AA5">
              <w:rPr>
                <w:sz w:val="18"/>
                <w:szCs w:val="18"/>
                <w:lang w:val="fr-FR"/>
              </w:rPr>
              <w:t>es besoins des prêteurs pour soutenir le financement de projets de PPP routiers.</w:t>
            </w:r>
          </w:p>
          <w:p w:rsidR="002A0AA5" w:rsidRPr="002A0AA5" w:rsidRDefault="002A0AA5" w:rsidP="00326414">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450" w:type="dxa"/>
          </w:tcPr>
          <w:p w:rsidR="00E65EB7" w:rsidRPr="002A0AA5" w:rsidRDefault="00E65EB7" w:rsidP="00847E7F">
            <w:pPr>
              <w:contextualSpacing/>
              <w:rPr>
                <w:sz w:val="18"/>
                <w:szCs w:val="18"/>
                <w:lang w:val="fr-FR"/>
              </w:rPr>
            </w:pPr>
          </w:p>
        </w:tc>
        <w:tc>
          <w:tcPr>
            <w:tcW w:w="540" w:type="dxa"/>
          </w:tcPr>
          <w:p w:rsidR="00E65EB7" w:rsidRPr="002A0AA5" w:rsidRDefault="00E65EB7" w:rsidP="00847E7F">
            <w:pPr>
              <w:contextualSpacing/>
              <w:rPr>
                <w:sz w:val="18"/>
                <w:szCs w:val="18"/>
                <w:lang w:val="fr-FR"/>
              </w:rPr>
            </w:pPr>
          </w:p>
        </w:tc>
        <w:tc>
          <w:tcPr>
            <w:tcW w:w="4770" w:type="dxa"/>
          </w:tcPr>
          <w:p w:rsidR="00E65EB7" w:rsidRPr="002A0AA5" w:rsidRDefault="00E65EB7" w:rsidP="00847E7F">
            <w:pPr>
              <w:contextualSpacing/>
              <w:rPr>
                <w:sz w:val="18"/>
                <w:szCs w:val="18"/>
                <w:lang w:val="fr-FR"/>
              </w:rPr>
            </w:pPr>
          </w:p>
        </w:tc>
      </w:tr>
      <w:tr w:rsidR="00CA39C2" w:rsidRPr="007C077B" w:rsidTr="00FB35E7">
        <w:trPr>
          <w:trHeight w:val="2105"/>
        </w:trPr>
        <w:tc>
          <w:tcPr>
            <w:tcW w:w="1907" w:type="dxa"/>
          </w:tcPr>
          <w:p w:rsidR="00E65EB7" w:rsidRPr="00FD68CA" w:rsidRDefault="00E65EB7" w:rsidP="00847E7F">
            <w:pPr>
              <w:contextualSpacing/>
              <w:rPr>
                <w:b/>
                <w:sz w:val="18"/>
                <w:szCs w:val="18"/>
                <w:lang w:val="fr-FR"/>
              </w:rPr>
            </w:pPr>
            <w:r w:rsidRPr="00FD68CA">
              <w:rPr>
                <w:b/>
                <w:sz w:val="18"/>
                <w:szCs w:val="18"/>
                <w:lang w:val="fr-FR"/>
              </w:rPr>
              <w:lastRenderedPageBreak/>
              <w:t xml:space="preserve">ASANRA </w:t>
            </w:r>
            <w:r w:rsidR="00FD68CA" w:rsidRPr="00FD68CA">
              <w:rPr>
                <w:b/>
                <w:sz w:val="18"/>
                <w:szCs w:val="18"/>
                <w:lang w:val="fr-FR"/>
              </w:rPr>
              <w:t>(Association des agences routières nationales d’Afrique austral)</w:t>
            </w:r>
            <w:r w:rsidR="00273D9D">
              <w:rPr>
                <w:b/>
                <w:sz w:val="18"/>
                <w:szCs w:val="18"/>
                <w:lang w:val="fr-FR"/>
              </w:rPr>
              <w:t xml:space="preserve"> : </w:t>
            </w:r>
            <w:r w:rsidR="00FD68CA" w:rsidRPr="00FD68CA">
              <w:rPr>
                <w:b/>
                <w:sz w:val="18"/>
                <w:szCs w:val="18"/>
                <w:lang w:val="fr-FR"/>
              </w:rPr>
              <w:t>auto-évaluation et évaluation par les pairs</w:t>
            </w:r>
            <w:r w:rsidR="00FD68CA">
              <w:rPr>
                <w:b/>
                <w:sz w:val="18"/>
                <w:szCs w:val="18"/>
                <w:lang w:val="fr-FR"/>
              </w:rPr>
              <w:t>.</w:t>
            </w:r>
          </w:p>
        </w:tc>
        <w:tc>
          <w:tcPr>
            <w:tcW w:w="4141" w:type="dxa"/>
          </w:tcPr>
          <w:p w:rsidR="00E65EB7" w:rsidRDefault="00FD68CA" w:rsidP="00326414">
            <w:pPr>
              <w:contextualSpacing/>
              <w:rPr>
                <w:sz w:val="18"/>
                <w:szCs w:val="18"/>
                <w:lang w:val="fr-FR"/>
              </w:rPr>
            </w:pPr>
            <w:r w:rsidRPr="00FD68CA">
              <w:rPr>
                <w:sz w:val="18"/>
                <w:szCs w:val="18"/>
                <w:lang w:val="fr-FR"/>
              </w:rPr>
              <w:t>L’Association des agences routières nationales d’Afrique austral</w:t>
            </w:r>
            <w:r>
              <w:rPr>
                <w:sz w:val="18"/>
                <w:szCs w:val="18"/>
                <w:lang w:val="fr-FR"/>
              </w:rPr>
              <w:t>e</w:t>
            </w:r>
            <w:r w:rsidRPr="00FD68CA">
              <w:rPr>
                <w:sz w:val="18"/>
                <w:szCs w:val="18"/>
                <w:lang w:val="fr-FR"/>
              </w:rPr>
              <w:t xml:space="preserve"> </w:t>
            </w:r>
            <w:r w:rsidR="00E65EB7" w:rsidRPr="00FD68CA">
              <w:rPr>
                <w:sz w:val="18"/>
                <w:szCs w:val="18"/>
                <w:lang w:val="fr-FR"/>
              </w:rPr>
              <w:t xml:space="preserve">(ASANRA) </w:t>
            </w:r>
            <w:r>
              <w:rPr>
                <w:sz w:val="18"/>
                <w:szCs w:val="18"/>
                <w:lang w:val="fr-FR"/>
              </w:rPr>
              <w:t xml:space="preserve">effectue une </w:t>
            </w:r>
            <w:r w:rsidRPr="00FD68CA">
              <w:rPr>
                <w:sz w:val="18"/>
                <w:szCs w:val="18"/>
                <w:lang w:val="fr-FR"/>
              </w:rPr>
              <w:t xml:space="preserve">étude comparative </w:t>
            </w:r>
            <w:r>
              <w:rPr>
                <w:sz w:val="18"/>
                <w:szCs w:val="18"/>
                <w:lang w:val="fr-FR"/>
              </w:rPr>
              <w:t xml:space="preserve">par les </w:t>
            </w:r>
            <w:r w:rsidRPr="00FD68CA">
              <w:rPr>
                <w:sz w:val="18"/>
                <w:szCs w:val="18"/>
                <w:lang w:val="fr-FR"/>
              </w:rPr>
              <w:t xml:space="preserve">pairs </w:t>
            </w:r>
            <w:r>
              <w:rPr>
                <w:sz w:val="18"/>
                <w:szCs w:val="18"/>
                <w:lang w:val="fr-FR"/>
              </w:rPr>
              <w:t>sur les</w:t>
            </w:r>
            <w:r w:rsidRPr="00FD68CA">
              <w:rPr>
                <w:sz w:val="18"/>
                <w:szCs w:val="18"/>
                <w:lang w:val="fr-FR"/>
              </w:rPr>
              <w:t xml:space="preserve"> </w:t>
            </w:r>
            <w:r>
              <w:rPr>
                <w:sz w:val="18"/>
                <w:szCs w:val="18"/>
                <w:lang w:val="fr-FR"/>
              </w:rPr>
              <w:t>P</w:t>
            </w:r>
            <w:r w:rsidRPr="00FD68CA">
              <w:rPr>
                <w:sz w:val="18"/>
                <w:szCs w:val="18"/>
                <w:lang w:val="fr-FR"/>
              </w:rPr>
              <w:t xml:space="preserve">ratiques de </w:t>
            </w:r>
            <w:r w:rsidR="00273D9D">
              <w:rPr>
                <w:sz w:val="18"/>
                <w:szCs w:val="18"/>
                <w:lang w:val="fr-FR"/>
              </w:rPr>
              <w:t>g</w:t>
            </w:r>
            <w:r w:rsidRPr="00FD68CA">
              <w:rPr>
                <w:sz w:val="18"/>
                <w:szCs w:val="18"/>
                <w:lang w:val="fr-FR"/>
              </w:rPr>
              <w:t xml:space="preserve">estion du </w:t>
            </w:r>
            <w:r w:rsidR="00273D9D">
              <w:rPr>
                <w:sz w:val="18"/>
                <w:szCs w:val="18"/>
                <w:lang w:val="fr-FR"/>
              </w:rPr>
              <w:t>p</w:t>
            </w:r>
            <w:r w:rsidRPr="00FD68CA">
              <w:rPr>
                <w:sz w:val="18"/>
                <w:szCs w:val="18"/>
                <w:lang w:val="fr-FR"/>
              </w:rPr>
              <w:t xml:space="preserve">atrimoine </w:t>
            </w:r>
            <w:r w:rsidR="00273D9D">
              <w:rPr>
                <w:sz w:val="18"/>
                <w:szCs w:val="18"/>
                <w:lang w:val="fr-FR"/>
              </w:rPr>
              <w:t>r</w:t>
            </w:r>
            <w:r w:rsidRPr="00FD68CA">
              <w:rPr>
                <w:sz w:val="18"/>
                <w:szCs w:val="18"/>
                <w:lang w:val="fr-FR"/>
              </w:rPr>
              <w:t xml:space="preserve">outier dans </w:t>
            </w:r>
            <w:r>
              <w:rPr>
                <w:sz w:val="18"/>
                <w:szCs w:val="18"/>
                <w:lang w:val="fr-FR"/>
              </w:rPr>
              <w:t>les</w:t>
            </w:r>
            <w:r w:rsidRPr="00FD68CA">
              <w:rPr>
                <w:sz w:val="18"/>
                <w:szCs w:val="18"/>
                <w:lang w:val="fr-FR"/>
              </w:rPr>
              <w:t xml:space="preserve"> pays </w:t>
            </w:r>
            <w:r>
              <w:rPr>
                <w:sz w:val="18"/>
                <w:szCs w:val="18"/>
                <w:lang w:val="fr-FR"/>
              </w:rPr>
              <w:t xml:space="preserve">de la </w:t>
            </w:r>
            <w:r w:rsidRPr="00FD68CA">
              <w:rPr>
                <w:sz w:val="18"/>
                <w:szCs w:val="18"/>
                <w:lang w:val="fr-FR"/>
              </w:rPr>
              <w:t xml:space="preserve">Communauté de développement </w:t>
            </w:r>
            <w:r>
              <w:rPr>
                <w:sz w:val="18"/>
                <w:szCs w:val="18"/>
                <w:lang w:val="fr-FR"/>
              </w:rPr>
              <w:t>de l</w:t>
            </w:r>
            <w:r w:rsidRPr="00FD68CA">
              <w:rPr>
                <w:sz w:val="18"/>
                <w:szCs w:val="18"/>
                <w:lang w:val="fr-FR"/>
              </w:rPr>
              <w:t xml:space="preserve">’Afrique australe (SADC). L'objectif est de permettre aux pays participants de traduire les résultats </w:t>
            </w:r>
            <w:r>
              <w:rPr>
                <w:sz w:val="18"/>
                <w:szCs w:val="18"/>
                <w:lang w:val="fr-FR"/>
              </w:rPr>
              <w:t>de cette étude dans d</w:t>
            </w:r>
            <w:r w:rsidRPr="00FD68CA">
              <w:rPr>
                <w:sz w:val="18"/>
                <w:szCs w:val="18"/>
                <w:lang w:val="fr-FR"/>
              </w:rPr>
              <w:t xml:space="preserve">es stratégies et </w:t>
            </w:r>
            <w:r>
              <w:rPr>
                <w:sz w:val="18"/>
                <w:szCs w:val="18"/>
                <w:lang w:val="fr-FR"/>
              </w:rPr>
              <w:t xml:space="preserve">des </w:t>
            </w:r>
            <w:r w:rsidRPr="00FD68CA">
              <w:rPr>
                <w:sz w:val="18"/>
                <w:szCs w:val="18"/>
                <w:lang w:val="fr-FR"/>
              </w:rPr>
              <w:t xml:space="preserve">plans d'action pour améliorer la gestion de la route et </w:t>
            </w:r>
            <w:r>
              <w:rPr>
                <w:sz w:val="18"/>
                <w:szCs w:val="18"/>
                <w:lang w:val="fr-FR"/>
              </w:rPr>
              <w:t xml:space="preserve">le </w:t>
            </w:r>
            <w:r w:rsidRPr="00FD68CA">
              <w:rPr>
                <w:sz w:val="18"/>
                <w:szCs w:val="18"/>
                <w:lang w:val="fr-FR"/>
              </w:rPr>
              <w:t>suivi de la performance dans leur pays.</w:t>
            </w:r>
          </w:p>
          <w:p w:rsidR="002A0AA5" w:rsidRPr="00FD68CA" w:rsidRDefault="002A0AA5" w:rsidP="00326414">
            <w:pPr>
              <w:contextualSpacing/>
              <w:rPr>
                <w:sz w:val="18"/>
                <w:szCs w:val="18"/>
                <w:lang w:val="fr-FR"/>
              </w:rPr>
            </w:pPr>
          </w:p>
        </w:tc>
        <w:tc>
          <w:tcPr>
            <w:tcW w:w="450" w:type="dxa"/>
          </w:tcPr>
          <w:p w:rsidR="00E65EB7" w:rsidRPr="00FD68CA" w:rsidRDefault="00E65EB7" w:rsidP="00847E7F">
            <w:pPr>
              <w:contextualSpacing/>
              <w:rPr>
                <w:sz w:val="18"/>
                <w:szCs w:val="18"/>
                <w:lang w:val="fr-FR"/>
              </w:rPr>
            </w:pPr>
          </w:p>
        </w:tc>
        <w:tc>
          <w:tcPr>
            <w:tcW w:w="450" w:type="dxa"/>
          </w:tcPr>
          <w:p w:rsidR="00E65EB7" w:rsidRPr="00FD68CA" w:rsidRDefault="00E65EB7" w:rsidP="00847E7F">
            <w:pPr>
              <w:contextualSpacing/>
              <w:rPr>
                <w:sz w:val="18"/>
                <w:szCs w:val="18"/>
                <w:lang w:val="fr-FR"/>
              </w:rPr>
            </w:pPr>
          </w:p>
        </w:tc>
        <w:tc>
          <w:tcPr>
            <w:tcW w:w="450" w:type="dxa"/>
          </w:tcPr>
          <w:p w:rsidR="00E65EB7" w:rsidRPr="00FD68CA" w:rsidRDefault="00E65EB7" w:rsidP="00847E7F">
            <w:pPr>
              <w:contextualSpacing/>
              <w:rPr>
                <w:sz w:val="18"/>
                <w:szCs w:val="18"/>
                <w:lang w:val="fr-FR"/>
              </w:rPr>
            </w:pPr>
          </w:p>
        </w:tc>
        <w:tc>
          <w:tcPr>
            <w:tcW w:w="450" w:type="dxa"/>
          </w:tcPr>
          <w:p w:rsidR="00E65EB7" w:rsidRPr="00FD68CA" w:rsidRDefault="00E65EB7" w:rsidP="00847E7F">
            <w:pPr>
              <w:contextualSpacing/>
              <w:rPr>
                <w:sz w:val="18"/>
                <w:szCs w:val="18"/>
                <w:lang w:val="fr-FR"/>
              </w:rPr>
            </w:pPr>
          </w:p>
        </w:tc>
        <w:tc>
          <w:tcPr>
            <w:tcW w:w="540" w:type="dxa"/>
          </w:tcPr>
          <w:p w:rsidR="00E65EB7" w:rsidRPr="00FD68CA" w:rsidRDefault="00E65EB7" w:rsidP="00847E7F">
            <w:pPr>
              <w:contextualSpacing/>
              <w:rPr>
                <w:sz w:val="18"/>
                <w:szCs w:val="18"/>
                <w:lang w:val="fr-FR"/>
              </w:rPr>
            </w:pPr>
          </w:p>
        </w:tc>
        <w:tc>
          <w:tcPr>
            <w:tcW w:w="4770" w:type="dxa"/>
          </w:tcPr>
          <w:p w:rsidR="00E65EB7" w:rsidRPr="00FD68CA" w:rsidRDefault="00E65EB7" w:rsidP="00847E7F">
            <w:pPr>
              <w:contextualSpacing/>
              <w:rPr>
                <w:sz w:val="18"/>
                <w:szCs w:val="18"/>
                <w:lang w:val="fr-FR"/>
              </w:rPr>
            </w:pPr>
          </w:p>
        </w:tc>
      </w:tr>
      <w:tr w:rsidR="00CA39C2" w:rsidRPr="007C077B" w:rsidTr="00087517">
        <w:trPr>
          <w:cantSplit/>
        </w:trPr>
        <w:tc>
          <w:tcPr>
            <w:tcW w:w="1907" w:type="dxa"/>
          </w:tcPr>
          <w:p w:rsidR="00E65EB7" w:rsidRPr="00C120BD" w:rsidRDefault="00FD68CA" w:rsidP="00C120BD">
            <w:pPr>
              <w:contextualSpacing/>
              <w:rPr>
                <w:b/>
                <w:bCs/>
                <w:sz w:val="18"/>
                <w:szCs w:val="18"/>
                <w:lang w:val="fr-FR"/>
              </w:rPr>
            </w:pPr>
            <w:r w:rsidRPr="00FD68CA">
              <w:rPr>
                <w:b/>
                <w:bCs/>
                <w:sz w:val="18"/>
                <w:szCs w:val="18"/>
                <w:lang w:val="fr-FR"/>
              </w:rPr>
              <w:t xml:space="preserve">Travail </w:t>
            </w:r>
            <w:r>
              <w:rPr>
                <w:b/>
                <w:bCs/>
                <w:sz w:val="18"/>
                <w:szCs w:val="18"/>
                <w:lang w:val="fr-FR"/>
              </w:rPr>
              <w:t xml:space="preserve">du </w:t>
            </w:r>
            <w:r w:rsidRPr="00FD68CA">
              <w:rPr>
                <w:b/>
                <w:bCs/>
                <w:sz w:val="18"/>
                <w:szCs w:val="18"/>
                <w:lang w:val="fr-FR"/>
              </w:rPr>
              <w:t xml:space="preserve">SSATP </w:t>
            </w:r>
            <w:r>
              <w:rPr>
                <w:b/>
                <w:bCs/>
                <w:sz w:val="18"/>
                <w:szCs w:val="18"/>
                <w:lang w:val="fr-FR"/>
              </w:rPr>
              <w:t xml:space="preserve">pour le développement de </w:t>
            </w:r>
            <w:r w:rsidRPr="00FD68CA">
              <w:rPr>
                <w:b/>
                <w:bCs/>
                <w:sz w:val="18"/>
                <w:szCs w:val="18"/>
                <w:lang w:val="fr-FR"/>
              </w:rPr>
              <w:t xml:space="preserve">Systèmes de </w:t>
            </w:r>
            <w:r w:rsidR="00C120BD">
              <w:rPr>
                <w:b/>
                <w:bCs/>
                <w:sz w:val="18"/>
                <w:szCs w:val="18"/>
                <w:lang w:val="fr-FR"/>
              </w:rPr>
              <w:t>g</w:t>
            </w:r>
            <w:r w:rsidRPr="00FD68CA">
              <w:rPr>
                <w:b/>
                <w:bCs/>
                <w:sz w:val="18"/>
                <w:szCs w:val="18"/>
                <w:lang w:val="fr-FR"/>
              </w:rPr>
              <w:t>estion de</w:t>
            </w:r>
            <w:r>
              <w:rPr>
                <w:b/>
                <w:bCs/>
                <w:sz w:val="18"/>
                <w:szCs w:val="18"/>
                <w:lang w:val="fr-FR"/>
              </w:rPr>
              <w:t>s</w:t>
            </w:r>
            <w:r w:rsidRPr="00FD68CA">
              <w:rPr>
                <w:b/>
                <w:bCs/>
                <w:sz w:val="18"/>
                <w:szCs w:val="18"/>
                <w:lang w:val="fr-FR"/>
              </w:rPr>
              <w:t xml:space="preserve"> </w:t>
            </w:r>
            <w:r w:rsidR="00C120BD">
              <w:rPr>
                <w:b/>
                <w:bCs/>
                <w:sz w:val="18"/>
                <w:szCs w:val="18"/>
                <w:lang w:val="fr-FR"/>
              </w:rPr>
              <w:t>d</w:t>
            </w:r>
            <w:r w:rsidRPr="00FD68CA">
              <w:rPr>
                <w:b/>
                <w:bCs/>
                <w:sz w:val="18"/>
                <w:szCs w:val="18"/>
                <w:lang w:val="fr-FR"/>
              </w:rPr>
              <w:t xml:space="preserve">onnées </w:t>
            </w:r>
            <w:r>
              <w:rPr>
                <w:b/>
                <w:bCs/>
                <w:sz w:val="18"/>
                <w:szCs w:val="18"/>
                <w:lang w:val="fr-FR"/>
              </w:rPr>
              <w:t xml:space="preserve">dans le </w:t>
            </w:r>
            <w:r w:rsidR="00C120BD">
              <w:rPr>
                <w:b/>
                <w:bCs/>
                <w:sz w:val="18"/>
                <w:szCs w:val="18"/>
                <w:lang w:val="fr-FR"/>
              </w:rPr>
              <w:t>s</w:t>
            </w:r>
            <w:r>
              <w:rPr>
                <w:b/>
                <w:bCs/>
                <w:sz w:val="18"/>
                <w:szCs w:val="18"/>
                <w:lang w:val="fr-FR"/>
              </w:rPr>
              <w:t xml:space="preserve">ecteur des </w:t>
            </w:r>
            <w:r w:rsidR="00C120BD">
              <w:rPr>
                <w:b/>
                <w:bCs/>
                <w:sz w:val="18"/>
                <w:szCs w:val="18"/>
                <w:lang w:val="fr-FR"/>
              </w:rPr>
              <w:t>t</w:t>
            </w:r>
            <w:r w:rsidRPr="00FD68CA">
              <w:rPr>
                <w:b/>
                <w:bCs/>
                <w:sz w:val="18"/>
                <w:szCs w:val="18"/>
                <w:lang w:val="fr-FR"/>
              </w:rPr>
              <w:t>ransports</w:t>
            </w:r>
          </w:p>
        </w:tc>
        <w:tc>
          <w:tcPr>
            <w:tcW w:w="4141" w:type="dxa"/>
          </w:tcPr>
          <w:p w:rsidR="00E65EB7" w:rsidRDefault="0016124F" w:rsidP="00326414">
            <w:pPr>
              <w:rPr>
                <w:bCs/>
                <w:sz w:val="18"/>
                <w:szCs w:val="18"/>
                <w:lang w:val="fr-FR"/>
              </w:rPr>
            </w:pPr>
            <w:r>
              <w:rPr>
                <w:bCs/>
                <w:sz w:val="18"/>
                <w:szCs w:val="18"/>
                <w:lang w:val="fr-FR"/>
              </w:rPr>
              <w:t>La g</w:t>
            </w:r>
            <w:r w:rsidRPr="0016124F">
              <w:rPr>
                <w:bCs/>
                <w:sz w:val="18"/>
                <w:szCs w:val="18"/>
                <w:lang w:val="fr-FR"/>
              </w:rPr>
              <w:t>estion des données du secte</w:t>
            </w:r>
            <w:r>
              <w:rPr>
                <w:bCs/>
                <w:sz w:val="18"/>
                <w:szCs w:val="18"/>
                <w:lang w:val="fr-FR"/>
              </w:rPr>
              <w:t>ur des transports est au cœur du</w:t>
            </w:r>
            <w:r w:rsidRPr="0016124F">
              <w:rPr>
                <w:bCs/>
                <w:sz w:val="18"/>
                <w:szCs w:val="18"/>
                <w:lang w:val="fr-FR"/>
              </w:rPr>
              <w:t xml:space="preserve"> développement </w:t>
            </w:r>
            <w:r w:rsidR="00326414">
              <w:rPr>
                <w:bCs/>
                <w:sz w:val="18"/>
                <w:szCs w:val="18"/>
                <w:lang w:val="fr-FR"/>
              </w:rPr>
              <w:t xml:space="preserve">efficace </w:t>
            </w:r>
            <w:r>
              <w:rPr>
                <w:bCs/>
                <w:sz w:val="18"/>
                <w:szCs w:val="18"/>
                <w:lang w:val="fr-FR"/>
              </w:rPr>
              <w:t>des</w:t>
            </w:r>
            <w:r w:rsidRPr="0016124F">
              <w:rPr>
                <w:bCs/>
                <w:sz w:val="18"/>
                <w:szCs w:val="18"/>
                <w:lang w:val="fr-FR"/>
              </w:rPr>
              <w:t xml:space="preserve"> politique</w:t>
            </w:r>
            <w:r>
              <w:rPr>
                <w:bCs/>
                <w:sz w:val="18"/>
                <w:szCs w:val="18"/>
                <w:lang w:val="fr-FR"/>
              </w:rPr>
              <w:t>s</w:t>
            </w:r>
            <w:r w:rsidRPr="0016124F">
              <w:rPr>
                <w:bCs/>
                <w:sz w:val="18"/>
                <w:szCs w:val="18"/>
                <w:lang w:val="fr-FR"/>
              </w:rPr>
              <w:t xml:space="preserve"> sectorielle</w:t>
            </w:r>
            <w:r>
              <w:rPr>
                <w:bCs/>
                <w:sz w:val="18"/>
                <w:szCs w:val="18"/>
                <w:lang w:val="fr-FR"/>
              </w:rPr>
              <w:t>s</w:t>
            </w:r>
            <w:r w:rsidRPr="0016124F">
              <w:rPr>
                <w:bCs/>
                <w:sz w:val="18"/>
                <w:szCs w:val="18"/>
                <w:lang w:val="fr-FR"/>
              </w:rPr>
              <w:t xml:space="preserve"> et de </w:t>
            </w:r>
            <w:r>
              <w:rPr>
                <w:bCs/>
                <w:sz w:val="18"/>
                <w:szCs w:val="18"/>
                <w:lang w:val="fr-FR"/>
              </w:rPr>
              <w:t xml:space="preserve">la </w:t>
            </w:r>
            <w:r w:rsidRPr="0016124F">
              <w:rPr>
                <w:bCs/>
                <w:sz w:val="18"/>
                <w:szCs w:val="18"/>
                <w:lang w:val="fr-FR"/>
              </w:rPr>
              <w:t xml:space="preserve">mesure de la performance des politiques. </w:t>
            </w:r>
            <w:r>
              <w:rPr>
                <w:bCs/>
                <w:sz w:val="18"/>
                <w:szCs w:val="18"/>
                <w:lang w:val="fr-FR"/>
              </w:rPr>
              <w:t xml:space="preserve">Le </w:t>
            </w:r>
            <w:r w:rsidRPr="0016124F">
              <w:rPr>
                <w:bCs/>
                <w:sz w:val="18"/>
                <w:szCs w:val="18"/>
                <w:lang w:val="fr-FR"/>
              </w:rPr>
              <w:t>SSATP a effectué des évaluations institutionnelles détaillées des systèmes de</w:t>
            </w:r>
            <w:r>
              <w:rPr>
                <w:bCs/>
                <w:sz w:val="18"/>
                <w:szCs w:val="18"/>
                <w:lang w:val="fr-FR"/>
              </w:rPr>
              <w:t xml:space="preserve"> gestion de</w:t>
            </w:r>
            <w:r w:rsidRPr="0016124F">
              <w:rPr>
                <w:bCs/>
                <w:sz w:val="18"/>
                <w:szCs w:val="18"/>
                <w:lang w:val="fr-FR"/>
              </w:rPr>
              <w:t xml:space="preserve"> données, </w:t>
            </w:r>
            <w:r>
              <w:rPr>
                <w:bCs/>
                <w:sz w:val="18"/>
                <w:szCs w:val="18"/>
                <w:lang w:val="fr-FR"/>
              </w:rPr>
              <w:t xml:space="preserve">des </w:t>
            </w:r>
            <w:r w:rsidRPr="0016124F">
              <w:rPr>
                <w:bCs/>
                <w:sz w:val="18"/>
                <w:szCs w:val="18"/>
                <w:lang w:val="fr-FR"/>
              </w:rPr>
              <w:t xml:space="preserve">politiques, </w:t>
            </w:r>
            <w:r>
              <w:rPr>
                <w:bCs/>
                <w:sz w:val="18"/>
                <w:szCs w:val="18"/>
                <w:lang w:val="fr-FR"/>
              </w:rPr>
              <w:t xml:space="preserve">des </w:t>
            </w:r>
            <w:r w:rsidRPr="0016124F">
              <w:rPr>
                <w:bCs/>
                <w:sz w:val="18"/>
                <w:szCs w:val="18"/>
                <w:lang w:val="fr-FR"/>
              </w:rPr>
              <w:t xml:space="preserve">procédures et </w:t>
            </w:r>
            <w:r>
              <w:rPr>
                <w:bCs/>
                <w:sz w:val="18"/>
                <w:szCs w:val="18"/>
                <w:lang w:val="fr-FR"/>
              </w:rPr>
              <w:t xml:space="preserve">des </w:t>
            </w:r>
            <w:r w:rsidRPr="0016124F">
              <w:rPr>
                <w:bCs/>
                <w:sz w:val="18"/>
                <w:szCs w:val="18"/>
                <w:lang w:val="fr-FR"/>
              </w:rPr>
              <w:t xml:space="preserve">pratiques dans 5 pays qui avaient déjà été impliqués dans </w:t>
            </w:r>
            <w:r>
              <w:rPr>
                <w:bCs/>
                <w:sz w:val="18"/>
                <w:szCs w:val="18"/>
                <w:lang w:val="fr-FR"/>
              </w:rPr>
              <w:t>l’</w:t>
            </w:r>
            <w:r w:rsidRPr="0016124F">
              <w:rPr>
                <w:bCs/>
                <w:sz w:val="18"/>
                <w:szCs w:val="18"/>
                <w:lang w:val="fr-FR"/>
              </w:rPr>
              <w:t xml:space="preserve">Initiative du SSATP sur les indicateurs de transport. Cela a conduit à une série de recommandations dans chaque pays étudié et a également fourni des informations pour élaborer </w:t>
            </w:r>
            <w:r w:rsidR="00326414">
              <w:rPr>
                <w:bCs/>
                <w:sz w:val="18"/>
                <w:szCs w:val="18"/>
                <w:lang w:val="fr-FR"/>
              </w:rPr>
              <w:t>d</w:t>
            </w:r>
            <w:r w:rsidRPr="0016124F">
              <w:rPr>
                <w:bCs/>
                <w:sz w:val="18"/>
                <w:szCs w:val="18"/>
                <w:lang w:val="fr-FR"/>
              </w:rPr>
              <w:t xml:space="preserve">es </w:t>
            </w:r>
            <w:r w:rsidR="00326414">
              <w:rPr>
                <w:bCs/>
                <w:sz w:val="18"/>
                <w:szCs w:val="18"/>
                <w:lang w:val="fr-FR"/>
              </w:rPr>
              <w:t xml:space="preserve">directives </w:t>
            </w:r>
            <w:r w:rsidRPr="0016124F">
              <w:rPr>
                <w:bCs/>
                <w:sz w:val="18"/>
                <w:szCs w:val="18"/>
                <w:lang w:val="fr-FR"/>
              </w:rPr>
              <w:t xml:space="preserve">pour la conception et </w:t>
            </w:r>
            <w:r w:rsidR="005E796C">
              <w:rPr>
                <w:bCs/>
                <w:sz w:val="18"/>
                <w:szCs w:val="18"/>
                <w:lang w:val="fr-FR"/>
              </w:rPr>
              <w:t>la mise en place</w:t>
            </w:r>
            <w:r w:rsidRPr="0016124F">
              <w:rPr>
                <w:bCs/>
                <w:sz w:val="18"/>
                <w:szCs w:val="18"/>
                <w:lang w:val="fr-FR"/>
              </w:rPr>
              <w:t xml:space="preserve"> </w:t>
            </w:r>
            <w:r w:rsidR="005E796C">
              <w:rPr>
                <w:bCs/>
                <w:sz w:val="18"/>
                <w:szCs w:val="18"/>
                <w:lang w:val="fr-FR"/>
              </w:rPr>
              <w:t xml:space="preserve">de </w:t>
            </w:r>
            <w:r w:rsidR="005E796C" w:rsidRPr="005E796C">
              <w:rPr>
                <w:bCs/>
                <w:sz w:val="18"/>
                <w:szCs w:val="18"/>
                <w:lang w:val="fr-FR"/>
              </w:rPr>
              <w:t>Système</w:t>
            </w:r>
            <w:r w:rsidR="005E796C">
              <w:rPr>
                <w:bCs/>
                <w:sz w:val="18"/>
                <w:szCs w:val="18"/>
                <w:lang w:val="fr-FR"/>
              </w:rPr>
              <w:t>s</w:t>
            </w:r>
            <w:r w:rsidR="005E796C" w:rsidRPr="005E796C">
              <w:rPr>
                <w:bCs/>
                <w:sz w:val="18"/>
                <w:szCs w:val="18"/>
                <w:lang w:val="fr-FR"/>
              </w:rPr>
              <w:t xml:space="preserve"> de gestion des données du secteur des transport</w:t>
            </w:r>
            <w:r w:rsidR="005E796C">
              <w:rPr>
                <w:bCs/>
                <w:sz w:val="18"/>
                <w:szCs w:val="18"/>
                <w:lang w:val="fr-FR"/>
              </w:rPr>
              <w:t>s</w:t>
            </w:r>
            <w:r w:rsidR="005E796C" w:rsidRPr="005E796C">
              <w:rPr>
                <w:bCs/>
                <w:sz w:val="18"/>
                <w:szCs w:val="18"/>
                <w:lang w:val="fr-FR"/>
              </w:rPr>
              <w:t xml:space="preserve"> </w:t>
            </w:r>
            <w:r w:rsidR="00326414">
              <w:rPr>
                <w:bCs/>
                <w:sz w:val="18"/>
                <w:szCs w:val="18"/>
                <w:lang w:val="fr-FR"/>
              </w:rPr>
              <w:t>(TSDMS)</w:t>
            </w:r>
            <w:r w:rsidRPr="0016124F">
              <w:rPr>
                <w:bCs/>
                <w:sz w:val="18"/>
                <w:szCs w:val="18"/>
                <w:lang w:val="fr-FR"/>
              </w:rPr>
              <w:t>.</w:t>
            </w:r>
          </w:p>
          <w:p w:rsidR="002A0AA5" w:rsidRPr="00273D9D" w:rsidRDefault="002A0AA5" w:rsidP="00326414">
            <w:pPr>
              <w:rPr>
                <w:sz w:val="18"/>
                <w:szCs w:val="18"/>
                <w:lang w:val="fr-FR"/>
              </w:rPr>
            </w:pPr>
          </w:p>
        </w:tc>
        <w:tc>
          <w:tcPr>
            <w:tcW w:w="450" w:type="dxa"/>
          </w:tcPr>
          <w:p w:rsidR="00E65EB7" w:rsidRPr="00273D9D" w:rsidRDefault="00E65EB7" w:rsidP="00847E7F">
            <w:pPr>
              <w:contextualSpacing/>
              <w:rPr>
                <w:sz w:val="18"/>
                <w:szCs w:val="18"/>
                <w:lang w:val="fr-FR"/>
              </w:rPr>
            </w:pPr>
          </w:p>
        </w:tc>
        <w:tc>
          <w:tcPr>
            <w:tcW w:w="450" w:type="dxa"/>
          </w:tcPr>
          <w:p w:rsidR="00E65EB7" w:rsidRPr="00273D9D" w:rsidRDefault="00E65EB7" w:rsidP="00847E7F">
            <w:pPr>
              <w:contextualSpacing/>
              <w:rPr>
                <w:sz w:val="18"/>
                <w:szCs w:val="18"/>
                <w:lang w:val="fr-FR"/>
              </w:rPr>
            </w:pPr>
          </w:p>
        </w:tc>
        <w:tc>
          <w:tcPr>
            <w:tcW w:w="450" w:type="dxa"/>
          </w:tcPr>
          <w:p w:rsidR="00E65EB7" w:rsidRPr="00273D9D" w:rsidRDefault="00E65EB7" w:rsidP="00847E7F">
            <w:pPr>
              <w:contextualSpacing/>
              <w:rPr>
                <w:sz w:val="18"/>
                <w:szCs w:val="18"/>
                <w:lang w:val="fr-FR"/>
              </w:rPr>
            </w:pPr>
          </w:p>
        </w:tc>
        <w:tc>
          <w:tcPr>
            <w:tcW w:w="450" w:type="dxa"/>
          </w:tcPr>
          <w:p w:rsidR="00E65EB7" w:rsidRPr="00273D9D" w:rsidRDefault="00E65EB7" w:rsidP="00847E7F">
            <w:pPr>
              <w:contextualSpacing/>
              <w:rPr>
                <w:sz w:val="18"/>
                <w:szCs w:val="18"/>
                <w:lang w:val="fr-FR"/>
              </w:rPr>
            </w:pPr>
          </w:p>
        </w:tc>
        <w:tc>
          <w:tcPr>
            <w:tcW w:w="540" w:type="dxa"/>
          </w:tcPr>
          <w:p w:rsidR="00E65EB7" w:rsidRPr="00273D9D" w:rsidRDefault="00E65EB7" w:rsidP="00847E7F">
            <w:pPr>
              <w:contextualSpacing/>
              <w:rPr>
                <w:sz w:val="18"/>
                <w:szCs w:val="18"/>
                <w:lang w:val="fr-FR"/>
              </w:rPr>
            </w:pPr>
          </w:p>
        </w:tc>
        <w:tc>
          <w:tcPr>
            <w:tcW w:w="4770" w:type="dxa"/>
          </w:tcPr>
          <w:p w:rsidR="00E65EB7" w:rsidRPr="00273D9D" w:rsidRDefault="00E65EB7" w:rsidP="00847E7F">
            <w:pPr>
              <w:contextualSpacing/>
              <w:rPr>
                <w:sz w:val="18"/>
                <w:szCs w:val="18"/>
                <w:lang w:val="fr-FR"/>
              </w:rPr>
            </w:pPr>
          </w:p>
        </w:tc>
      </w:tr>
      <w:tr w:rsidR="00CA39C2" w:rsidRPr="007C077B" w:rsidTr="00087517">
        <w:trPr>
          <w:cantSplit/>
        </w:trPr>
        <w:tc>
          <w:tcPr>
            <w:tcW w:w="1907" w:type="dxa"/>
          </w:tcPr>
          <w:p w:rsidR="00AB3592" w:rsidRPr="00AB3592" w:rsidRDefault="00AB3592" w:rsidP="00847E7F">
            <w:pPr>
              <w:contextualSpacing/>
              <w:rPr>
                <w:b/>
                <w:sz w:val="18"/>
                <w:szCs w:val="18"/>
                <w:lang w:val="fr-FR"/>
              </w:rPr>
            </w:pPr>
            <w:r>
              <w:rPr>
                <w:b/>
                <w:sz w:val="18"/>
                <w:szCs w:val="18"/>
                <w:lang w:val="fr-FR"/>
              </w:rPr>
              <w:t>E</w:t>
            </w:r>
            <w:r w:rsidRPr="00AB3592">
              <w:rPr>
                <w:b/>
                <w:sz w:val="18"/>
                <w:szCs w:val="18"/>
                <w:lang w:val="fr-FR"/>
              </w:rPr>
              <w:t>tude</w:t>
            </w:r>
            <w:r>
              <w:rPr>
                <w:b/>
                <w:sz w:val="18"/>
                <w:szCs w:val="18"/>
                <w:lang w:val="fr-FR"/>
              </w:rPr>
              <w:t xml:space="preserve"> du SSATP</w:t>
            </w:r>
            <w:r w:rsidRPr="00AB3592">
              <w:rPr>
                <w:b/>
                <w:sz w:val="18"/>
                <w:szCs w:val="18"/>
                <w:lang w:val="fr-FR"/>
              </w:rPr>
              <w:t xml:space="preserve"> sur la promotion de l'adoption de bonnes politiques et pratiques </w:t>
            </w:r>
            <w:r>
              <w:rPr>
                <w:b/>
                <w:sz w:val="18"/>
                <w:szCs w:val="18"/>
                <w:lang w:val="fr-FR"/>
              </w:rPr>
              <w:t xml:space="preserve">dans le secteur du </w:t>
            </w:r>
            <w:r w:rsidRPr="00AB3592">
              <w:rPr>
                <w:b/>
                <w:sz w:val="18"/>
                <w:szCs w:val="18"/>
                <w:lang w:val="fr-FR"/>
              </w:rPr>
              <w:t>transport rural en Afrique sub-saharienne</w:t>
            </w:r>
          </w:p>
        </w:tc>
        <w:tc>
          <w:tcPr>
            <w:tcW w:w="4141" w:type="dxa"/>
          </w:tcPr>
          <w:p w:rsidR="00E65EB7" w:rsidRDefault="00AB3592" w:rsidP="00326414">
            <w:pPr>
              <w:contextualSpacing/>
              <w:rPr>
                <w:sz w:val="18"/>
                <w:szCs w:val="18"/>
                <w:lang w:val="fr-FR"/>
              </w:rPr>
            </w:pPr>
            <w:r>
              <w:rPr>
                <w:sz w:val="18"/>
                <w:szCs w:val="18"/>
                <w:lang w:val="fr-FR"/>
              </w:rPr>
              <w:t xml:space="preserve">Cette </w:t>
            </w:r>
            <w:r w:rsidRPr="00AB3592">
              <w:rPr>
                <w:sz w:val="18"/>
                <w:szCs w:val="18"/>
                <w:lang w:val="fr-FR"/>
              </w:rPr>
              <w:t xml:space="preserve">étude encourage la mise en place de bonnes politiques, stratégies et pratiques opérationnelles </w:t>
            </w:r>
            <w:r>
              <w:rPr>
                <w:sz w:val="18"/>
                <w:szCs w:val="18"/>
                <w:lang w:val="fr-FR"/>
              </w:rPr>
              <w:t xml:space="preserve">dans le secteur du </w:t>
            </w:r>
            <w:r w:rsidRPr="00AB3592">
              <w:rPr>
                <w:sz w:val="18"/>
                <w:szCs w:val="18"/>
                <w:lang w:val="fr-FR"/>
              </w:rPr>
              <w:t xml:space="preserve">transport rural. Les deux </w:t>
            </w:r>
            <w:r w:rsidR="00DA022D">
              <w:rPr>
                <w:sz w:val="18"/>
                <w:szCs w:val="18"/>
                <w:lang w:val="fr-FR"/>
              </w:rPr>
              <w:t>activités</w:t>
            </w:r>
            <w:r>
              <w:rPr>
                <w:sz w:val="18"/>
                <w:szCs w:val="18"/>
                <w:lang w:val="fr-FR"/>
              </w:rPr>
              <w:t xml:space="preserve"> principales consistent à</w:t>
            </w:r>
            <w:r w:rsidRPr="00AB3592">
              <w:rPr>
                <w:sz w:val="18"/>
                <w:szCs w:val="18"/>
                <w:lang w:val="fr-FR"/>
              </w:rPr>
              <w:t xml:space="preserve"> mettre à jour </w:t>
            </w:r>
            <w:r w:rsidR="002309BF">
              <w:rPr>
                <w:sz w:val="18"/>
                <w:szCs w:val="18"/>
                <w:lang w:val="fr-FR"/>
              </w:rPr>
              <w:t xml:space="preserve">le </w:t>
            </w:r>
            <w:r w:rsidRPr="00AB3592">
              <w:rPr>
                <w:sz w:val="18"/>
                <w:szCs w:val="18"/>
                <w:lang w:val="fr-FR"/>
              </w:rPr>
              <w:t xml:space="preserve">Matériel de formation </w:t>
            </w:r>
            <w:r w:rsidR="002309BF">
              <w:rPr>
                <w:sz w:val="18"/>
                <w:szCs w:val="18"/>
                <w:lang w:val="fr-FR"/>
              </w:rPr>
              <w:t>en</w:t>
            </w:r>
            <w:r w:rsidRPr="00AB3592">
              <w:rPr>
                <w:sz w:val="18"/>
                <w:szCs w:val="18"/>
                <w:lang w:val="fr-FR"/>
              </w:rPr>
              <w:t xml:space="preserve"> transport </w:t>
            </w:r>
            <w:r w:rsidR="002309BF">
              <w:rPr>
                <w:sz w:val="18"/>
                <w:szCs w:val="18"/>
                <w:lang w:val="fr-FR"/>
              </w:rPr>
              <w:t xml:space="preserve">rural </w:t>
            </w:r>
            <w:r w:rsidRPr="00AB3592">
              <w:rPr>
                <w:sz w:val="18"/>
                <w:szCs w:val="18"/>
                <w:lang w:val="fr-FR"/>
              </w:rPr>
              <w:t xml:space="preserve">(RTTM) et l'élaboration d'une </w:t>
            </w:r>
            <w:r w:rsidR="002309BF">
              <w:rPr>
                <w:sz w:val="18"/>
                <w:szCs w:val="18"/>
                <w:lang w:val="fr-FR"/>
              </w:rPr>
              <w:t>S</w:t>
            </w:r>
            <w:r w:rsidRPr="00AB3592">
              <w:rPr>
                <w:sz w:val="18"/>
                <w:szCs w:val="18"/>
                <w:lang w:val="fr-FR"/>
              </w:rPr>
              <w:t>t</w:t>
            </w:r>
            <w:r w:rsidR="002309BF">
              <w:rPr>
                <w:sz w:val="18"/>
                <w:szCs w:val="18"/>
                <w:lang w:val="fr-FR"/>
              </w:rPr>
              <w:t>r</w:t>
            </w:r>
            <w:r w:rsidRPr="00AB3592">
              <w:rPr>
                <w:sz w:val="18"/>
                <w:szCs w:val="18"/>
                <w:lang w:val="fr-FR"/>
              </w:rPr>
              <w:t xml:space="preserve">atégie de </w:t>
            </w:r>
            <w:r w:rsidR="002309BF">
              <w:rPr>
                <w:sz w:val="18"/>
                <w:szCs w:val="18"/>
                <w:lang w:val="fr-FR"/>
              </w:rPr>
              <w:t>R</w:t>
            </w:r>
            <w:r w:rsidRPr="00AB3592">
              <w:rPr>
                <w:sz w:val="18"/>
                <w:szCs w:val="18"/>
                <w:lang w:val="fr-FR"/>
              </w:rPr>
              <w:t xml:space="preserve">enforcement des </w:t>
            </w:r>
            <w:r w:rsidR="002309BF">
              <w:rPr>
                <w:sz w:val="18"/>
                <w:szCs w:val="18"/>
                <w:lang w:val="fr-FR"/>
              </w:rPr>
              <w:t>C</w:t>
            </w:r>
            <w:r w:rsidRPr="00AB3592">
              <w:rPr>
                <w:sz w:val="18"/>
                <w:szCs w:val="18"/>
                <w:lang w:val="fr-FR"/>
              </w:rPr>
              <w:t xml:space="preserve">apacités; </w:t>
            </w:r>
            <w:r w:rsidR="002309BF">
              <w:rPr>
                <w:sz w:val="18"/>
                <w:szCs w:val="18"/>
                <w:lang w:val="fr-FR"/>
              </w:rPr>
              <w:t>et l’application pilote du d</w:t>
            </w:r>
            <w:r w:rsidRPr="00AB3592">
              <w:rPr>
                <w:sz w:val="18"/>
                <w:szCs w:val="18"/>
                <w:lang w:val="fr-FR"/>
              </w:rPr>
              <w:t xml:space="preserve">ocument de travail No. 93 </w:t>
            </w:r>
            <w:r w:rsidR="002309BF">
              <w:rPr>
                <w:sz w:val="18"/>
                <w:szCs w:val="18"/>
                <w:lang w:val="fr-FR"/>
              </w:rPr>
              <w:t xml:space="preserve">du SSATP : </w:t>
            </w:r>
            <w:r w:rsidR="002309BF" w:rsidRPr="002309BF">
              <w:rPr>
                <w:i/>
                <w:sz w:val="18"/>
                <w:szCs w:val="18"/>
                <w:lang w:val="fr-FR"/>
              </w:rPr>
              <w:t xml:space="preserve">Transport Rural: Améliorer sa contribution à la croissance rurale et </w:t>
            </w:r>
            <w:r w:rsidR="002309BF">
              <w:rPr>
                <w:i/>
                <w:sz w:val="18"/>
                <w:szCs w:val="18"/>
                <w:lang w:val="fr-FR"/>
              </w:rPr>
              <w:t xml:space="preserve">à </w:t>
            </w:r>
            <w:r w:rsidR="002309BF" w:rsidRPr="002309BF">
              <w:rPr>
                <w:i/>
                <w:sz w:val="18"/>
                <w:szCs w:val="18"/>
                <w:lang w:val="fr-FR"/>
              </w:rPr>
              <w:t>la réduction de la pauvreté en Afrique sub-saharienne</w:t>
            </w:r>
            <w:r w:rsidR="002309BF">
              <w:rPr>
                <w:sz w:val="18"/>
                <w:szCs w:val="18"/>
                <w:lang w:val="fr-FR"/>
              </w:rPr>
              <w:t xml:space="preserve">, dans </w:t>
            </w:r>
            <w:r w:rsidRPr="00AB3592">
              <w:rPr>
                <w:sz w:val="18"/>
                <w:szCs w:val="18"/>
                <w:lang w:val="fr-FR"/>
              </w:rPr>
              <w:t>deux pays d'Afrique sub-saharienne (Ouganda et Nigeria)</w:t>
            </w:r>
          </w:p>
          <w:p w:rsidR="002A0AA5" w:rsidRPr="002309BF" w:rsidRDefault="002A0AA5" w:rsidP="00326414">
            <w:pPr>
              <w:contextualSpacing/>
              <w:rPr>
                <w:sz w:val="18"/>
                <w:szCs w:val="18"/>
                <w:lang w:val="fr-FR"/>
              </w:rPr>
            </w:pPr>
          </w:p>
        </w:tc>
        <w:tc>
          <w:tcPr>
            <w:tcW w:w="450" w:type="dxa"/>
          </w:tcPr>
          <w:p w:rsidR="00E65EB7" w:rsidRPr="002309BF" w:rsidRDefault="00E65EB7" w:rsidP="00847E7F">
            <w:pPr>
              <w:contextualSpacing/>
              <w:rPr>
                <w:sz w:val="18"/>
                <w:szCs w:val="18"/>
                <w:lang w:val="fr-FR"/>
              </w:rPr>
            </w:pPr>
          </w:p>
        </w:tc>
        <w:tc>
          <w:tcPr>
            <w:tcW w:w="450" w:type="dxa"/>
          </w:tcPr>
          <w:p w:rsidR="00E65EB7" w:rsidRPr="002309BF" w:rsidRDefault="00E65EB7" w:rsidP="00847E7F">
            <w:pPr>
              <w:contextualSpacing/>
              <w:rPr>
                <w:sz w:val="18"/>
                <w:szCs w:val="18"/>
                <w:lang w:val="fr-FR"/>
              </w:rPr>
            </w:pPr>
          </w:p>
        </w:tc>
        <w:tc>
          <w:tcPr>
            <w:tcW w:w="450" w:type="dxa"/>
          </w:tcPr>
          <w:p w:rsidR="00E65EB7" w:rsidRPr="002309BF" w:rsidRDefault="00E65EB7" w:rsidP="00847E7F">
            <w:pPr>
              <w:contextualSpacing/>
              <w:rPr>
                <w:sz w:val="18"/>
                <w:szCs w:val="18"/>
                <w:lang w:val="fr-FR"/>
              </w:rPr>
            </w:pPr>
          </w:p>
        </w:tc>
        <w:tc>
          <w:tcPr>
            <w:tcW w:w="450" w:type="dxa"/>
          </w:tcPr>
          <w:p w:rsidR="00E65EB7" w:rsidRPr="002309BF" w:rsidRDefault="00E65EB7" w:rsidP="00847E7F">
            <w:pPr>
              <w:contextualSpacing/>
              <w:rPr>
                <w:sz w:val="18"/>
                <w:szCs w:val="18"/>
                <w:lang w:val="fr-FR"/>
              </w:rPr>
            </w:pPr>
          </w:p>
        </w:tc>
        <w:tc>
          <w:tcPr>
            <w:tcW w:w="540" w:type="dxa"/>
          </w:tcPr>
          <w:p w:rsidR="00E65EB7" w:rsidRPr="002309BF" w:rsidRDefault="00E65EB7" w:rsidP="00847E7F">
            <w:pPr>
              <w:contextualSpacing/>
              <w:rPr>
                <w:sz w:val="18"/>
                <w:szCs w:val="18"/>
                <w:lang w:val="fr-FR"/>
              </w:rPr>
            </w:pPr>
          </w:p>
        </w:tc>
        <w:tc>
          <w:tcPr>
            <w:tcW w:w="4770" w:type="dxa"/>
          </w:tcPr>
          <w:p w:rsidR="00E65EB7" w:rsidRPr="002309BF" w:rsidRDefault="00E65EB7" w:rsidP="00847E7F">
            <w:pPr>
              <w:contextualSpacing/>
              <w:rPr>
                <w:sz w:val="18"/>
                <w:szCs w:val="18"/>
                <w:lang w:val="fr-FR"/>
              </w:rPr>
            </w:pPr>
          </w:p>
        </w:tc>
      </w:tr>
      <w:tr w:rsidR="002A0AA5" w:rsidRPr="00E25667" w:rsidTr="00087517">
        <w:tc>
          <w:tcPr>
            <w:tcW w:w="1907" w:type="dxa"/>
            <w:vMerge w:val="restart"/>
          </w:tcPr>
          <w:p w:rsidR="002A0AA5" w:rsidRPr="002A0AA5" w:rsidRDefault="002A0AA5" w:rsidP="00847E7F">
            <w:pPr>
              <w:contextualSpacing/>
              <w:rPr>
                <w:sz w:val="18"/>
                <w:szCs w:val="18"/>
                <w:lang w:val="fr-FR"/>
              </w:rPr>
            </w:pPr>
            <w:r w:rsidRPr="002A0AA5">
              <w:rPr>
                <w:b/>
                <w:sz w:val="18"/>
                <w:szCs w:val="18"/>
                <w:lang w:val="fr-FR"/>
              </w:rPr>
              <w:lastRenderedPageBreak/>
              <w:t>Transport ferroviaire en Afrique</w:t>
            </w:r>
          </w:p>
        </w:tc>
        <w:tc>
          <w:tcPr>
            <w:tcW w:w="11251" w:type="dxa"/>
            <w:gridSpan w:val="7"/>
          </w:tcPr>
          <w:p w:rsidR="002A0AA5" w:rsidRPr="002A0AA5" w:rsidRDefault="002A0AA5" w:rsidP="00ED2ECD">
            <w:pPr>
              <w:ind w:hanging="18"/>
              <w:contextualSpacing/>
              <w:rPr>
                <w:i/>
                <w:sz w:val="18"/>
                <w:szCs w:val="18"/>
                <w:lang w:val="fr-FR"/>
              </w:rPr>
            </w:pPr>
            <w:r w:rsidRPr="002A0AA5">
              <w:rPr>
                <w:i/>
                <w:sz w:val="18"/>
                <w:szCs w:val="18"/>
                <w:lang w:val="fr-FR"/>
              </w:rPr>
              <w:t>2 ressources:</w:t>
            </w:r>
          </w:p>
        </w:tc>
      </w:tr>
      <w:tr w:rsidR="002A0AA5" w:rsidRPr="007C077B" w:rsidTr="00087517">
        <w:tc>
          <w:tcPr>
            <w:tcW w:w="1907" w:type="dxa"/>
            <w:vMerge/>
          </w:tcPr>
          <w:p w:rsidR="002A0AA5" w:rsidRPr="002A0AA5" w:rsidRDefault="002A0AA5" w:rsidP="00847E7F">
            <w:pPr>
              <w:contextualSpacing/>
              <w:rPr>
                <w:sz w:val="18"/>
                <w:szCs w:val="18"/>
                <w:lang w:val="fr-FR"/>
              </w:rPr>
            </w:pPr>
          </w:p>
        </w:tc>
        <w:tc>
          <w:tcPr>
            <w:tcW w:w="4141" w:type="dxa"/>
          </w:tcPr>
          <w:p w:rsidR="002A0AA5" w:rsidRPr="00B45DA7" w:rsidRDefault="002A0AA5" w:rsidP="00B45DA7">
            <w:pPr>
              <w:pStyle w:val="ListParagraph"/>
              <w:numPr>
                <w:ilvl w:val="0"/>
                <w:numId w:val="11"/>
              </w:numPr>
              <w:ind w:left="343"/>
              <w:rPr>
                <w:sz w:val="18"/>
                <w:szCs w:val="18"/>
                <w:lang w:val="fr-FR"/>
              </w:rPr>
            </w:pPr>
            <w:r w:rsidRPr="00B45DA7">
              <w:rPr>
                <w:sz w:val="18"/>
                <w:szCs w:val="18"/>
                <w:lang w:val="fr-FR"/>
              </w:rPr>
              <w:t>Document de travail No. 94 du SSATP sur le transport ferroviaire: évaluer l'état du secteur ferroviaire en Afrique et fournir un cadre pour l'amélioration de la performance du secteur des chemins de fer en Afrique sub-saharienne.</w:t>
            </w:r>
          </w:p>
          <w:p w:rsidR="002A0AA5" w:rsidRPr="002A0AA5" w:rsidRDefault="002A0AA5" w:rsidP="00326414">
            <w:pPr>
              <w:contextualSpacing/>
              <w:rPr>
                <w:sz w:val="18"/>
                <w:szCs w:val="18"/>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540" w:type="dxa"/>
          </w:tcPr>
          <w:p w:rsidR="002A0AA5" w:rsidRPr="002A0AA5" w:rsidRDefault="002A0AA5" w:rsidP="00847E7F">
            <w:pPr>
              <w:contextualSpacing/>
              <w:rPr>
                <w:lang w:val="fr-FR"/>
              </w:rPr>
            </w:pPr>
          </w:p>
        </w:tc>
        <w:tc>
          <w:tcPr>
            <w:tcW w:w="4770" w:type="dxa"/>
          </w:tcPr>
          <w:p w:rsidR="002A0AA5" w:rsidRPr="002A0AA5" w:rsidRDefault="002A0AA5" w:rsidP="00847E7F">
            <w:pPr>
              <w:contextualSpacing/>
              <w:rPr>
                <w:lang w:val="fr-FR"/>
              </w:rPr>
            </w:pPr>
          </w:p>
        </w:tc>
      </w:tr>
      <w:tr w:rsidR="002A0AA5" w:rsidRPr="008C5AC5" w:rsidTr="00087517">
        <w:tc>
          <w:tcPr>
            <w:tcW w:w="1907" w:type="dxa"/>
            <w:vMerge/>
          </w:tcPr>
          <w:p w:rsidR="002A0AA5" w:rsidRPr="002A0AA5" w:rsidRDefault="002A0AA5" w:rsidP="00847E7F">
            <w:pPr>
              <w:contextualSpacing/>
              <w:rPr>
                <w:sz w:val="18"/>
                <w:szCs w:val="18"/>
                <w:lang w:val="fr-FR"/>
              </w:rPr>
            </w:pPr>
          </w:p>
        </w:tc>
        <w:tc>
          <w:tcPr>
            <w:tcW w:w="4141" w:type="dxa"/>
          </w:tcPr>
          <w:p w:rsidR="002A0AA5" w:rsidRPr="00B45DA7" w:rsidRDefault="002A0AA5" w:rsidP="00B45DA7">
            <w:pPr>
              <w:pStyle w:val="ListParagraph"/>
              <w:numPr>
                <w:ilvl w:val="0"/>
                <w:numId w:val="10"/>
              </w:numPr>
              <w:ind w:left="343" w:hanging="343"/>
              <w:rPr>
                <w:sz w:val="18"/>
                <w:szCs w:val="18"/>
                <w:lang w:val="fr-FR"/>
              </w:rPr>
            </w:pPr>
            <w:r w:rsidRPr="00B45DA7">
              <w:rPr>
                <w:sz w:val="18"/>
                <w:szCs w:val="18"/>
                <w:lang w:val="fr-FR"/>
              </w:rPr>
              <w:t>Les chemins de fer de l'Afrique sub-saharienne: un outil d'intégration régionale efficace? Une présentation de la Société Financière Internationale</w:t>
            </w:r>
            <w:r w:rsidR="00B45DA7">
              <w:rPr>
                <w:sz w:val="18"/>
                <w:szCs w:val="18"/>
                <w:lang w:val="fr-FR"/>
              </w:rPr>
              <w:t>.</w:t>
            </w:r>
          </w:p>
          <w:p w:rsidR="002A0AA5" w:rsidRPr="002A0AA5" w:rsidRDefault="002A0AA5" w:rsidP="00087517">
            <w:pPr>
              <w:contextualSpacing/>
              <w:rPr>
                <w:sz w:val="18"/>
                <w:szCs w:val="18"/>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450" w:type="dxa"/>
          </w:tcPr>
          <w:p w:rsidR="002A0AA5" w:rsidRPr="002A0AA5" w:rsidRDefault="002A0AA5" w:rsidP="00847E7F">
            <w:pPr>
              <w:contextualSpacing/>
              <w:rPr>
                <w:lang w:val="fr-FR"/>
              </w:rPr>
            </w:pPr>
          </w:p>
        </w:tc>
        <w:tc>
          <w:tcPr>
            <w:tcW w:w="540" w:type="dxa"/>
          </w:tcPr>
          <w:p w:rsidR="002A0AA5" w:rsidRPr="002A0AA5" w:rsidRDefault="002A0AA5" w:rsidP="00847E7F">
            <w:pPr>
              <w:contextualSpacing/>
              <w:rPr>
                <w:lang w:val="fr-FR"/>
              </w:rPr>
            </w:pPr>
          </w:p>
        </w:tc>
        <w:tc>
          <w:tcPr>
            <w:tcW w:w="4770" w:type="dxa"/>
          </w:tcPr>
          <w:p w:rsidR="002A0AA5" w:rsidRPr="002A0AA5" w:rsidRDefault="002A0AA5" w:rsidP="00847E7F">
            <w:pPr>
              <w:contextualSpacing/>
              <w:rPr>
                <w:lang w:val="fr-FR"/>
              </w:rPr>
            </w:pPr>
          </w:p>
        </w:tc>
      </w:tr>
      <w:tr w:rsidR="00CA39C2" w:rsidRPr="007C077B" w:rsidTr="00087517">
        <w:tc>
          <w:tcPr>
            <w:tcW w:w="1907" w:type="dxa"/>
          </w:tcPr>
          <w:p w:rsidR="0022359D" w:rsidRPr="002A0AA5" w:rsidRDefault="008C78F4" w:rsidP="00E60DE3">
            <w:pPr>
              <w:contextualSpacing/>
              <w:rPr>
                <w:b/>
                <w:sz w:val="18"/>
                <w:szCs w:val="18"/>
                <w:lang w:val="fr-FR"/>
              </w:rPr>
            </w:pPr>
            <w:r w:rsidRPr="002A0AA5">
              <w:rPr>
                <w:b/>
                <w:sz w:val="18"/>
                <w:szCs w:val="18"/>
                <w:lang w:val="fr-FR"/>
              </w:rPr>
              <w:t xml:space="preserve">Mise en œuvre des engagements du gouvernement ougandais sur les politiques de l'égalité </w:t>
            </w:r>
            <w:r w:rsidR="00E60DE3" w:rsidRPr="002A0AA5">
              <w:rPr>
                <w:b/>
                <w:sz w:val="18"/>
                <w:szCs w:val="18"/>
                <w:lang w:val="fr-FR"/>
              </w:rPr>
              <w:t>homme/femme</w:t>
            </w:r>
            <w:r w:rsidRPr="002A0AA5">
              <w:rPr>
                <w:b/>
                <w:sz w:val="18"/>
                <w:szCs w:val="18"/>
                <w:lang w:val="fr-FR"/>
              </w:rPr>
              <w:t xml:space="preserve"> dans le secteur routier</w:t>
            </w:r>
          </w:p>
        </w:tc>
        <w:tc>
          <w:tcPr>
            <w:tcW w:w="4141" w:type="dxa"/>
          </w:tcPr>
          <w:p w:rsidR="002A0AA5" w:rsidRDefault="00E60DE3" w:rsidP="00326414">
            <w:pPr>
              <w:contextualSpacing/>
              <w:rPr>
                <w:sz w:val="18"/>
                <w:szCs w:val="18"/>
                <w:lang w:val="fr-FR"/>
              </w:rPr>
            </w:pPr>
            <w:r w:rsidRPr="002A0AA5">
              <w:rPr>
                <w:sz w:val="18"/>
                <w:szCs w:val="18"/>
                <w:lang w:val="fr-FR"/>
              </w:rPr>
              <w:t>Cette activité a passé en revue l'expérience du secteur routier dans</w:t>
            </w:r>
            <w:r w:rsidR="00326414" w:rsidRPr="002A0AA5">
              <w:rPr>
                <w:sz w:val="18"/>
                <w:szCs w:val="18"/>
                <w:lang w:val="fr-FR"/>
              </w:rPr>
              <w:t xml:space="preserve"> l'intégration des questions d</w:t>
            </w:r>
            <w:r w:rsidRPr="002A0AA5">
              <w:rPr>
                <w:sz w:val="18"/>
                <w:szCs w:val="18"/>
                <w:lang w:val="fr-FR"/>
              </w:rPr>
              <w:t xml:space="preserve">’égalité homme/femme, en évaluant la mesure dans laquelle elles </w:t>
            </w:r>
            <w:r w:rsidR="00326414" w:rsidRPr="002A0AA5">
              <w:rPr>
                <w:sz w:val="18"/>
                <w:szCs w:val="18"/>
                <w:lang w:val="fr-FR"/>
              </w:rPr>
              <w:t xml:space="preserve">ont été </w:t>
            </w:r>
            <w:r w:rsidRPr="002A0AA5">
              <w:rPr>
                <w:sz w:val="18"/>
                <w:szCs w:val="18"/>
                <w:lang w:val="fr-FR"/>
              </w:rPr>
              <w:t xml:space="preserve">adressées lors de la formulation des politiques du secteur des transports, de la planification, de la budgétisation, de l’exécution, du suivi des performances et de l’évaluation des impacts. L’objectif est également de documenter les leçons apprises, notamment les possibilités et les contraintes, ainsi que les bonnes pratiques dans la promotion de l'égalité des </w:t>
            </w:r>
            <w:r w:rsidR="00326414" w:rsidRPr="002A0AA5">
              <w:rPr>
                <w:sz w:val="18"/>
                <w:szCs w:val="18"/>
                <w:lang w:val="fr-FR"/>
              </w:rPr>
              <w:t xml:space="preserve">genres </w:t>
            </w:r>
            <w:r w:rsidRPr="002A0AA5">
              <w:rPr>
                <w:sz w:val="18"/>
                <w:szCs w:val="18"/>
                <w:lang w:val="fr-FR"/>
              </w:rPr>
              <w:t>et de l'autonomisation des femmes dans le secteur routier.</w:t>
            </w:r>
          </w:p>
          <w:p w:rsidR="002A0AA5" w:rsidRPr="002A0AA5" w:rsidRDefault="002A0AA5" w:rsidP="00326414">
            <w:pPr>
              <w:contextualSpacing/>
              <w:rPr>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r w:rsidR="00CA39C2" w:rsidRPr="007C077B" w:rsidTr="00087517">
        <w:trPr>
          <w:cantSplit/>
        </w:trPr>
        <w:tc>
          <w:tcPr>
            <w:tcW w:w="1907" w:type="dxa"/>
          </w:tcPr>
          <w:p w:rsidR="00E60DE3" w:rsidRPr="002A0AA5" w:rsidRDefault="00E60DE3" w:rsidP="00847E7F">
            <w:pPr>
              <w:contextualSpacing/>
              <w:rPr>
                <w:b/>
                <w:sz w:val="18"/>
                <w:szCs w:val="18"/>
                <w:lang w:val="fr-FR"/>
              </w:rPr>
            </w:pPr>
            <w:r w:rsidRPr="002A0AA5">
              <w:rPr>
                <w:b/>
                <w:sz w:val="18"/>
                <w:szCs w:val="18"/>
                <w:lang w:val="fr-FR"/>
              </w:rPr>
              <w:t>Directives des Observatoires des corridors de transport</w:t>
            </w:r>
          </w:p>
          <w:p w:rsidR="0022359D" w:rsidRPr="002A0AA5" w:rsidRDefault="0022359D" w:rsidP="00847E7F">
            <w:pPr>
              <w:contextualSpacing/>
              <w:rPr>
                <w:sz w:val="18"/>
                <w:szCs w:val="18"/>
                <w:lang w:val="fr-FR"/>
              </w:rPr>
            </w:pPr>
          </w:p>
        </w:tc>
        <w:tc>
          <w:tcPr>
            <w:tcW w:w="4141" w:type="dxa"/>
          </w:tcPr>
          <w:p w:rsidR="0022359D" w:rsidRDefault="00DA022D" w:rsidP="00326414">
            <w:pPr>
              <w:contextualSpacing/>
              <w:rPr>
                <w:sz w:val="18"/>
                <w:szCs w:val="18"/>
                <w:lang w:val="fr-FR"/>
              </w:rPr>
            </w:pPr>
            <w:r w:rsidRPr="002A0AA5">
              <w:rPr>
                <w:sz w:val="18"/>
                <w:szCs w:val="18"/>
                <w:lang w:val="fr-FR"/>
              </w:rPr>
              <w:t>Les O</w:t>
            </w:r>
            <w:r w:rsidR="00E60DE3" w:rsidRPr="002A0AA5">
              <w:rPr>
                <w:sz w:val="18"/>
                <w:szCs w:val="18"/>
                <w:lang w:val="fr-FR"/>
              </w:rPr>
              <w:t xml:space="preserve">bservatoires des corridors de transport prévoient des mécanismes pour générer des informations factuelles sur les performances du corridor à </w:t>
            </w:r>
            <w:r w:rsidR="00326414" w:rsidRPr="002A0AA5">
              <w:rPr>
                <w:sz w:val="18"/>
                <w:szCs w:val="18"/>
                <w:lang w:val="fr-FR"/>
              </w:rPr>
              <w:t xml:space="preserve">l’aide </w:t>
            </w:r>
            <w:r w:rsidR="00E60DE3" w:rsidRPr="002A0AA5">
              <w:rPr>
                <w:sz w:val="18"/>
                <w:szCs w:val="18"/>
                <w:lang w:val="fr-FR"/>
              </w:rPr>
              <w:t>d</w:t>
            </w:r>
            <w:r w:rsidR="00326414" w:rsidRPr="002A0AA5">
              <w:rPr>
                <w:sz w:val="18"/>
                <w:szCs w:val="18"/>
                <w:lang w:val="fr-FR"/>
              </w:rPr>
              <w:t>’</w:t>
            </w:r>
            <w:r w:rsidR="00E60DE3" w:rsidRPr="002A0AA5">
              <w:rPr>
                <w:sz w:val="18"/>
                <w:szCs w:val="18"/>
                <w:lang w:val="fr-FR"/>
              </w:rPr>
              <w:t xml:space="preserve">indicateurs de base. Ces </w:t>
            </w:r>
            <w:r w:rsidR="00326414" w:rsidRPr="002A0AA5">
              <w:rPr>
                <w:sz w:val="18"/>
                <w:szCs w:val="18"/>
                <w:lang w:val="fr-FR"/>
              </w:rPr>
              <w:t xml:space="preserve">directives </w:t>
            </w:r>
            <w:r w:rsidR="00E60DE3" w:rsidRPr="002A0AA5">
              <w:rPr>
                <w:sz w:val="18"/>
                <w:szCs w:val="18"/>
                <w:lang w:val="fr-FR"/>
              </w:rPr>
              <w:t>fournissent un cadre pour le suivi de la performance des corridors et examinent plusieurs méthodes pour recueillir les données nécessaires.</w:t>
            </w:r>
          </w:p>
          <w:p w:rsidR="002A0AA5" w:rsidRPr="002A0AA5" w:rsidRDefault="002A0AA5" w:rsidP="00326414">
            <w:pPr>
              <w:contextualSpacing/>
              <w:rPr>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bl>
    <w:p w:rsidR="002A0AA5" w:rsidRDefault="002A0AA5" w:rsidP="00847E7F">
      <w:pPr>
        <w:contextualSpacing/>
        <w:rPr>
          <w:b/>
          <w:sz w:val="18"/>
          <w:szCs w:val="18"/>
          <w:lang w:val="fr-FR"/>
        </w:rPr>
        <w:sectPr w:rsidR="002A0AA5" w:rsidSect="00087517">
          <w:pgSz w:w="15840" w:h="12240" w:orient="landscape"/>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907"/>
        <w:gridCol w:w="4141"/>
        <w:gridCol w:w="450"/>
        <w:gridCol w:w="450"/>
        <w:gridCol w:w="450"/>
        <w:gridCol w:w="450"/>
        <w:gridCol w:w="540"/>
        <w:gridCol w:w="4770"/>
      </w:tblGrid>
      <w:tr w:rsidR="00CA39C2" w:rsidRPr="007C077B" w:rsidTr="00087517">
        <w:tc>
          <w:tcPr>
            <w:tcW w:w="1907" w:type="dxa"/>
          </w:tcPr>
          <w:p w:rsidR="0022359D" w:rsidRPr="002A0AA5" w:rsidRDefault="007253B0" w:rsidP="00847E7F">
            <w:pPr>
              <w:contextualSpacing/>
              <w:rPr>
                <w:sz w:val="18"/>
                <w:szCs w:val="18"/>
                <w:lang w:val="fr-FR"/>
              </w:rPr>
            </w:pPr>
            <w:r w:rsidRPr="002A0AA5">
              <w:rPr>
                <w:b/>
                <w:sz w:val="18"/>
                <w:szCs w:val="18"/>
                <w:lang w:val="fr-FR"/>
              </w:rPr>
              <w:lastRenderedPageBreak/>
              <w:t>E</w:t>
            </w:r>
            <w:r w:rsidR="00C120BD" w:rsidRPr="002A0AA5">
              <w:rPr>
                <w:b/>
                <w:sz w:val="18"/>
                <w:szCs w:val="18"/>
                <w:lang w:val="fr-FR"/>
              </w:rPr>
              <w:t>nquêtes t</w:t>
            </w:r>
            <w:r w:rsidRPr="002A0AA5">
              <w:rPr>
                <w:b/>
                <w:sz w:val="18"/>
                <w:szCs w:val="18"/>
                <w:lang w:val="fr-FR"/>
              </w:rPr>
              <w:t>ransfrontalières</w:t>
            </w:r>
          </w:p>
        </w:tc>
        <w:tc>
          <w:tcPr>
            <w:tcW w:w="4141" w:type="dxa"/>
          </w:tcPr>
          <w:p w:rsidR="00A74E98" w:rsidRDefault="00A74E98" w:rsidP="00326414">
            <w:pPr>
              <w:contextualSpacing/>
              <w:rPr>
                <w:sz w:val="18"/>
                <w:szCs w:val="18"/>
                <w:lang w:val="fr-FR"/>
              </w:rPr>
            </w:pPr>
            <w:r w:rsidRPr="002A0AA5">
              <w:rPr>
                <w:sz w:val="18"/>
                <w:szCs w:val="18"/>
                <w:lang w:val="fr-FR"/>
              </w:rPr>
              <w:t>Des enquêtes sur trois postes frontières (Malaba, Busia et Gatuna / Katuna) ont fourni une occasion unique de mesurer les améliorations spectaculaires qui ont suivi des décisions politiques prises par les gouvernements du Kenya et de l'Ouganda pour faciliter les mouvements transfrontaliers. Des leçons importantes ont également été tirées sur les paramètres nécessaires à la réussite des programmes d'amélioration de</w:t>
            </w:r>
            <w:r w:rsidR="00326414" w:rsidRPr="002A0AA5">
              <w:rPr>
                <w:sz w:val="18"/>
                <w:szCs w:val="18"/>
                <w:lang w:val="fr-FR"/>
              </w:rPr>
              <w:t xml:space="preserve">s passages aux </w:t>
            </w:r>
            <w:r w:rsidRPr="002A0AA5">
              <w:rPr>
                <w:sz w:val="18"/>
                <w:szCs w:val="18"/>
                <w:lang w:val="fr-FR"/>
              </w:rPr>
              <w:t>frontière</w:t>
            </w:r>
            <w:r w:rsidR="00326414" w:rsidRPr="002A0AA5">
              <w:rPr>
                <w:sz w:val="18"/>
                <w:szCs w:val="18"/>
                <w:lang w:val="fr-FR"/>
              </w:rPr>
              <w:t>s</w:t>
            </w:r>
            <w:r w:rsidRPr="002A0AA5">
              <w:rPr>
                <w:sz w:val="18"/>
                <w:szCs w:val="18"/>
                <w:lang w:val="fr-FR"/>
              </w:rPr>
              <w:t xml:space="preserve">. Voire le Document de travail No. 96 du SSATP, </w:t>
            </w:r>
            <w:r w:rsidR="00326414" w:rsidRPr="002A0AA5">
              <w:rPr>
                <w:i/>
                <w:sz w:val="18"/>
                <w:szCs w:val="18"/>
                <w:lang w:val="fr-FR"/>
              </w:rPr>
              <w:t>Suivi et évaluation</w:t>
            </w:r>
            <w:r w:rsidR="00326414" w:rsidRPr="002A0AA5">
              <w:rPr>
                <w:sz w:val="18"/>
                <w:szCs w:val="18"/>
                <w:lang w:val="fr-FR"/>
              </w:rPr>
              <w:t xml:space="preserve"> </w:t>
            </w:r>
            <w:r w:rsidRPr="002A0AA5">
              <w:rPr>
                <w:i/>
                <w:sz w:val="18"/>
                <w:szCs w:val="18"/>
                <w:lang w:val="fr-FR"/>
              </w:rPr>
              <w:t xml:space="preserve">des Passages </w:t>
            </w:r>
            <w:r w:rsidR="00326414" w:rsidRPr="002A0AA5">
              <w:rPr>
                <w:i/>
                <w:sz w:val="18"/>
                <w:szCs w:val="18"/>
                <w:lang w:val="fr-FR"/>
              </w:rPr>
              <w:t xml:space="preserve">aux Frontières </w:t>
            </w:r>
            <w:r w:rsidRPr="002A0AA5">
              <w:rPr>
                <w:i/>
                <w:sz w:val="18"/>
                <w:szCs w:val="18"/>
                <w:lang w:val="fr-FR"/>
              </w:rPr>
              <w:t>le long du Corridor Nord</w:t>
            </w:r>
            <w:r w:rsidRPr="002A0AA5">
              <w:rPr>
                <w:sz w:val="18"/>
                <w:szCs w:val="18"/>
                <w:lang w:val="fr-FR"/>
              </w:rPr>
              <w:t>.</w:t>
            </w:r>
          </w:p>
          <w:p w:rsidR="00B45DA7" w:rsidRPr="002A0AA5" w:rsidRDefault="00B45DA7" w:rsidP="00326414">
            <w:pPr>
              <w:contextualSpacing/>
              <w:rPr>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r w:rsidR="00CA39C2" w:rsidRPr="007C077B" w:rsidTr="00087517">
        <w:trPr>
          <w:cantSplit/>
        </w:trPr>
        <w:tc>
          <w:tcPr>
            <w:tcW w:w="1907" w:type="dxa"/>
          </w:tcPr>
          <w:p w:rsidR="0022359D" w:rsidRPr="002A0AA5" w:rsidRDefault="00A74E98" w:rsidP="00A74E98">
            <w:pPr>
              <w:rPr>
                <w:b/>
                <w:sz w:val="18"/>
                <w:szCs w:val="18"/>
                <w:lang w:val="fr-FR"/>
              </w:rPr>
            </w:pPr>
            <w:r w:rsidRPr="002A0AA5">
              <w:rPr>
                <w:b/>
                <w:sz w:val="18"/>
                <w:szCs w:val="18"/>
                <w:lang w:val="fr-FR"/>
              </w:rPr>
              <w:t xml:space="preserve">Outils de </w:t>
            </w:r>
            <w:r w:rsidR="00C120BD" w:rsidRPr="002A0AA5">
              <w:rPr>
                <w:b/>
                <w:sz w:val="18"/>
                <w:szCs w:val="18"/>
                <w:lang w:val="fr-FR"/>
              </w:rPr>
              <w:t>g</w:t>
            </w:r>
            <w:r w:rsidRPr="002A0AA5">
              <w:rPr>
                <w:b/>
                <w:sz w:val="18"/>
                <w:szCs w:val="18"/>
                <w:lang w:val="fr-FR"/>
              </w:rPr>
              <w:t xml:space="preserve">estion du </w:t>
            </w:r>
            <w:r w:rsidR="00C120BD" w:rsidRPr="002A0AA5">
              <w:rPr>
                <w:b/>
                <w:sz w:val="18"/>
                <w:szCs w:val="18"/>
                <w:lang w:val="fr-FR"/>
              </w:rPr>
              <w:t>c</w:t>
            </w:r>
            <w:r w:rsidRPr="002A0AA5">
              <w:rPr>
                <w:b/>
                <w:sz w:val="18"/>
                <w:szCs w:val="18"/>
                <w:lang w:val="fr-FR"/>
              </w:rPr>
              <w:t xml:space="preserve">ommerce et des </w:t>
            </w:r>
            <w:r w:rsidR="00C120BD" w:rsidRPr="002A0AA5">
              <w:rPr>
                <w:b/>
                <w:sz w:val="18"/>
                <w:szCs w:val="18"/>
                <w:lang w:val="fr-FR"/>
              </w:rPr>
              <w:t>t</w:t>
            </w:r>
            <w:r w:rsidRPr="002A0AA5">
              <w:rPr>
                <w:b/>
                <w:sz w:val="18"/>
                <w:szCs w:val="18"/>
                <w:lang w:val="fr-FR"/>
              </w:rPr>
              <w:t xml:space="preserve">ransports </w:t>
            </w:r>
            <w:r w:rsidR="00C120BD" w:rsidRPr="002A0AA5">
              <w:rPr>
                <w:b/>
                <w:sz w:val="18"/>
                <w:szCs w:val="18"/>
                <w:lang w:val="fr-FR"/>
              </w:rPr>
              <w:t>le long de</w:t>
            </w:r>
            <w:r w:rsidRPr="002A0AA5">
              <w:rPr>
                <w:b/>
                <w:sz w:val="18"/>
                <w:szCs w:val="18"/>
                <w:lang w:val="fr-FR"/>
              </w:rPr>
              <w:t xml:space="preserve">s </w:t>
            </w:r>
            <w:r w:rsidR="00C120BD" w:rsidRPr="002A0AA5">
              <w:rPr>
                <w:b/>
                <w:sz w:val="18"/>
                <w:szCs w:val="18"/>
                <w:lang w:val="fr-FR"/>
              </w:rPr>
              <w:t>c</w:t>
            </w:r>
            <w:r w:rsidRPr="002A0AA5">
              <w:rPr>
                <w:b/>
                <w:sz w:val="18"/>
                <w:szCs w:val="18"/>
                <w:lang w:val="fr-FR"/>
              </w:rPr>
              <w:t>orridors</w:t>
            </w:r>
          </w:p>
        </w:tc>
        <w:tc>
          <w:tcPr>
            <w:tcW w:w="4141" w:type="dxa"/>
          </w:tcPr>
          <w:p w:rsidR="0022359D" w:rsidRDefault="00A74E98" w:rsidP="00326414">
            <w:pPr>
              <w:rPr>
                <w:sz w:val="18"/>
                <w:szCs w:val="18"/>
                <w:lang w:val="fr-FR"/>
              </w:rPr>
            </w:pPr>
            <w:r w:rsidRPr="002A0AA5">
              <w:rPr>
                <w:sz w:val="18"/>
                <w:szCs w:val="18"/>
                <w:lang w:val="fr-FR"/>
              </w:rPr>
              <w:t>Ces outils sont conçus pour aider les gestionnaires de projet</w:t>
            </w:r>
            <w:r w:rsidR="00DA022D" w:rsidRPr="002A0AA5">
              <w:rPr>
                <w:sz w:val="18"/>
                <w:szCs w:val="18"/>
                <w:lang w:val="fr-FR"/>
              </w:rPr>
              <w:t>s</w:t>
            </w:r>
            <w:r w:rsidRPr="002A0AA5">
              <w:rPr>
                <w:sz w:val="18"/>
                <w:szCs w:val="18"/>
                <w:lang w:val="fr-FR"/>
              </w:rPr>
              <w:t xml:space="preserve"> à surmonter les défis apparents auxquels ils sont confrontés lors de la conception de projets de corridors. </w:t>
            </w:r>
            <w:r w:rsidR="00326414" w:rsidRPr="002A0AA5">
              <w:rPr>
                <w:sz w:val="18"/>
                <w:szCs w:val="18"/>
                <w:lang w:val="fr-FR"/>
              </w:rPr>
              <w:t>Ils</w:t>
            </w:r>
            <w:r w:rsidRPr="002A0AA5">
              <w:rPr>
                <w:sz w:val="18"/>
                <w:szCs w:val="18"/>
                <w:lang w:val="fr-FR"/>
              </w:rPr>
              <w:t xml:space="preserve"> proposent une approche globale pour </w:t>
            </w:r>
            <w:r w:rsidR="00326414" w:rsidRPr="002A0AA5">
              <w:rPr>
                <w:sz w:val="18"/>
                <w:szCs w:val="18"/>
                <w:lang w:val="fr-FR"/>
              </w:rPr>
              <w:t xml:space="preserve">effectuer </w:t>
            </w:r>
            <w:r w:rsidRPr="002A0AA5">
              <w:rPr>
                <w:sz w:val="18"/>
                <w:szCs w:val="18"/>
                <w:lang w:val="fr-FR"/>
              </w:rPr>
              <w:t xml:space="preserve">un diagnostic des corridors, </w:t>
            </w:r>
            <w:r w:rsidR="00326414" w:rsidRPr="002A0AA5">
              <w:rPr>
                <w:sz w:val="18"/>
                <w:szCs w:val="18"/>
                <w:lang w:val="fr-FR"/>
              </w:rPr>
              <w:t xml:space="preserve">évaluer </w:t>
            </w:r>
            <w:r w:rsidR="00DA022D" w:rsidRPr="002A0AA5">
              <w:rPr>
                <w:sz w:val="18"/>
                <w:szCs w:val="18"/>
                <w:lang w:val="fr-FR"/>
              </w:rPr>
              <w:t>leur</w:t>
            </w:r>
            <w:r w:rsidRPr="002A0AA5">
              <w:rPr>
                <w:sz w:val="18"/>
                <w:szCs w:val="18"/>
                <w:lang w:val="fr-FR"/>
              </w:rPr>
              <w:t xml:space="preserve"> </w:t>
            </w:r>
            <w:r w:rsidR="00DA022D" w:rsidRPr="002A0AA5">
              <w:rPr>
                <w:sz w:val="18"/>
                <w:szCs w:val="18"/>
                <w:lang w:val="fr-FR"/>
              </w:rPr>
              <w:t>performance</w:t>
            </w:r>
            <w:r w:rsidR="00326414" w:rsidRPr="002A0AA5">
              <w:rPr>
                <w:sz w:val="18"/>
                <w:szCs w:val="18"/>
                <w:lang w:val="fr-FR"/>
              </w:rPr>
              <w:t xml:space="preserve"> et</w:t>
            </w:r>
            <w:r w:rsidRPr="002A0AA5">
              <w:rPr>
                <w:sz w:val="18"/>
                <w:szCs w:val="18"/>
                <w:lang w:val="fr-FR"/>
              </w:rPr>
              <w:t xml:space="preserve"> leur gestion, améliorer les opérations et évaluer les impacts. Ils sont conçus pour les agences publiques nationales et internationales et les acteurs du secteur privé concernés.</w:t>
            </w:r>
          </w:p>
          <w:p w:rsidR="00B45DA7" w:rsidRPr="002A0AA5" w:rsidRDefault="00B45DA7" w:rsidP="00326414">
            <w:pPr>
              <w:rPr>
                <w:b/>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r w:rsidR="00CA39C2" w:rsidRPr="007C077B" w:rsidTr="00087517">
        <w:tc>
          <w:tcPr>
            <w:tcW w:w="1907" w:type="dxa"/>
          </w:tcPr>
          <w:p w:rsidR="0022359D" w:rsidRPr="002A0AA5" w:rsidRDefault="00C120BD" w:rsidP="00847E7F">
            <w:pPr>
              <w:contextualSpacing/>
              <w:rPr>
                <w:b/>
                <w:sz w:val="18"/>
                <w:szCs w:val="18"/>
                <w:lang w:val="fr-FR"/>
              </w:rPr>
            </w:pPr>
            <w:r w:rsidRPr="002A0AA5">
              <w:rPr>
                <w:b/>
                <w:sz w:val="18"/>
                <w:szCs w:val="18"/>
                <w:lang w:val="fr-FR"/>
              </w:rPr>
              <w:t>Étude sur les coûts de logistique des corridors de transport en Afrique centrale et occidentale</w:t>
            </w:r>
          </w:p>
        </w:tc>
        <w:tc>
          <w:tcPr>
            <w:tcW w:w="4141" w:type="dxa"/>
          </w:tcPr>
          <w:p w:rsidR="0022359D" w:rsidRDefault="0009038B" w:rsidP="00326414">
            <w:pPr>
              <w:contextualSpacing/>
              <w:rPr>
                <w:sz w:val="18"/>
                <w:szCs w:val="18"/>
                <w:lang w:val="fr-FR"/>
              </w:rPr>
            </w:pPr>
            <w:r w:rsidRPr="002A0AA5">
              <w:rPr>
                <w:sz w:val="18"/>
                <w:szCs w:val="18"/>
                <w:lang w:val="fr-FR"/>
              </w:rPr>
              <w:t>L'objectif est de permettre aux communautés économiques régionales (CER) et aux différents pays de formuler des politiques qui se traduisent par une réduction des coûts de transaction le long des principaux corridors de l'Afrique occidentale et centrale. L'étude vise à déterminer les composantes des coûts totaux de logistique, en prenant en compte les coûts invisibles, et d'analyser les liens entre les différentes stratégies de facilitation et de leur impact possible sur ces coûts</w:t>
            </w:r>
            <w:r w:rsidR="00326414" w:rsidRPr="002A0AA5">
              <w:rPr>
                <w:sz w:val="18"/>
                <w:szCs w:val="18"/>
                <w:lang w:val="fr-FR"/>
              </w:rPr>
              <w:t>.</w:t>
            </w:r>
          </w:p>
          <w:p w:rsidR="00B45DA7" w:rsidRPr="002A0AA5" w:rsidRDefault="00B45DA7" w:rsidP="00326414">
            <w:pPr>
              <w:contextualSpacing/>
              <w:rPr>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r w:rsidR="00CA39C2" w:rsidRPr="007C077B" w:rsidTr="00087517">
        <w:trPr>
          <w:cantSplit/>
        </w:trPr>
        <w:tc>
          <w:tcPr>
            <w:tcW w:w="1907" w:type="dxa"/>
          </w:tcPr>
          <w:p w:rsidR="0022359D" w:rsidRPr="002A0AA5" w:rsidRDefault="0009038B" w:rsidP="0009038B">
            <w:pPr>
              <w:contextualSpacing/>
              <w:rPr>
                <w:sz w:val="18"/>
                <w:szCs w:val="18"/>
                <w:lang w:val="fr-FR"/>
              </w:rPr>
            </w:pPr>
            <w:r w:rsidRPr="002A0AA5">
              <w:rPr>
                <w:b/>
                <w:sz w:val="18"/>
                <w:szCs w:val="18"/>
                <w:lang w:val="fr-FR"/>
              </w:rPr>
              <w:lastRenderedPageBreak/>
              <w:t>Enquêtes sur l'industrie du transport routier en Afrique de l'Est</w:t>
            </w:r>
          </w:p>
        </w:tc>
        <w:tc>
          <w:tcPr>
            <w:tcW w:w="4141" w:type="dxa"/>
          </w:tcPr>
          <w:p w:rsidR="0022359D" w:rsidRDefault="0009038B" w:rsidP="00326414">
            <w:pPr>
              <w:contextualSpacing/>
              <w:rPr>
                <w:sz w:val="18"/>
                <w:szCs w:val="18"/>
                <w:lang w:val="fr-FR"/>
              </w:rPr>
            </w:pPr>
            <w:r w:rsidRPr="002A0AA5">
              <w:rPr>
                <w:sz w:val="18"/>
                <w:szCs w:val="18"/>
                <w:lang w:val="fr-FR"/>
              </w:rPr>
              <w:t xml:space="preserve">Les coûts de transport routier et les prix ont été désignés comme les principaux obstacles au commerce en Afrique sub-saharienne. Les autorités de corridors en Afrique de l'Est ont demandé au SSATP d’appliquer son expertise à l'organisation d'enquêtes, afin que la capacité locale pour produire de l’information </w:t>
            </w:r>
            <w:r w:rsidR="00326414" w:rsidRPr="002A0AA5">
              <w:rPr>
                <w:sz w:val="18"/>
                <w:szCs w:val="18"/>
                <w:lang w:val="fr-FR"/>
              </w:rPr>
              <w:t xml:space="preserve">sur l’industrie des transports </w:t>
            </w:r>
            <w:r w:rsidRPr="002A0AA5">
              <w:rPr>
                <w:sz w:val="18"/>
                <w:szCs w:val="18"/>
                <w:lang w:val="fr-FR"/>
              </w:rPr>
              <w:t xml:space="preserve">puisse se construire à travers un partenariat impliquant les autorités des corridors, les associations nationales de transport routier et les établissements universitaires. Ces enquêtes ont été menées au Kenya, en Tanzanie et au Rwanda et donnent un aperçu de l'industrie des poids lourds en Afrique de </w:t>
            </w:r>
            <w:r w:rsidR="00F52D7B" w:rsidRPr="002A0AA5">
              <w:rPr>
                <w:sz w:val="18"/>
                <w:szCs w:val="18"/>
                <w:lang w:val="fr-FR"/>
              </w:rPr>
              <w:t xml:space="preserve">l'Est. </w:t>
            </w:r>
          </w:p>
          <w:p w:rsidR="00B45DA7" w:rsidRPr="002A0AA5" w:rsidRDefault="00B45DA7" w:rsidP="00326414">
            <w:pPr>
              <w:contextualSpacing/>
              <w:rPr>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r w:rsidR="00CA39C2" w:rsidRPr="007C077B" w:rsidTr="00087517">
        <w:tc>
          <w:tcPr>
            <w:tcW w:w="1907" w:type="dxa"/>
          </w:tcPr>
          <w:p w:rsidR="0022359D" w:rsidRPr="00B45DA7" w:rsidRDefault="00E334D4" w:rsidP="00847E7F">
            <w:pPr>
              <w:contextualSpacing/>
              <w:rPr>
                <w:b/>
                <w:sz w:val="18"/>
                <w:szCs w:val="18"/>
                <w:lang w:val="fr-FR"/>
              </w:rPr>
            </w:pPr>
            <w:r w:rsidRPr="002A0AA5">
              <w:rPr>
                <w:b/>
                <w:sz w:val="18"/>
                <w:szCs w:val="18"/>
                <w:lang w:val="fr-FR"/>
              </w:rPr>
              <w:t>Soutien à la Commission internationale du Bassin Congo-Oubangui-Sangha (CICOS) pour la création de l'Observatoire du fleuve Congo</w:t>
            </w:r>
          </w:p>
        </w:tc>
        <w:tc>
          <w:tcPr>
            <w:tcW w:w="4141" w:type="dxa"/>
          </w:tcPr>
          <w:p w:rsidR="0022359D" w:rsidRDefault="00924DF4" w:rsidP="00924DF4">
            <w:pPr>
              <w:rPr>
                <w:sz w:val="18"/>
                <w:szCs w:val="18"/>
                <w:lang w:val="fr-FR"/>
              </w:rPr>
            </w:pPr>
            <w:r w:rsidRPr="002A0AA5">
              <w:rPr>
                <w:sz w:val="18"/>
                <w:szCs w:val="18"/>
                <w:lang w:val="fr-FR"/>
              </w:rPr>
              <w:t xml:space="preserve">Des </w:t>
            </w:r>
            <w:r w:rsidR="00E334D4" w:rsidRPr="002A0AA5">
              <w:rPr>
                <w:sz w:val="18"/>
                <w:szCs w:val="18"/>
                <w:lang w:val="fr-FR"/>
              </w:rPr>
              <w:t xml:space="preserve">barrières </w:t>
            </w:r>
            <w:r w:rsidRPr="002A0AA5">
              <w:rPr>
                <w:sz w:val="18"/>
                <w:szCs w:val="18"/>
                <w:lang w:val="fr-FR"/>
              </w:rPr>
              <w:t xml:space="preserve">non-physiques </w:t>
            </w:r>
            <w:r w:rsidR="00E334D4" w:rsidRPr="002A0AA5">
              <w:rPr>
                <w:sz w:val="18"/>
                <w:szCs w:val="18"/>
                <w:lang w:val="fr-FR"/>
              </w:rPr>
              <w:t xml:space="preserve">entravent la circulation le long du corridor Brazzaville - Kinshasa - Bangui - Kisangani, en raison de nombreux points de contrôle, taxes et frais illégaux, qui entraînent un gaspillage considérable de temps et d'argent. L'étude fournit les bases à la création d'un Observatoire des barrières </w:t>
            </w:r>
            <w:r w:rsidRPr="002A0AA5">
              <w:rPr>
                <w:sz w:val="18"/>
                <w:szCs w:val="18"/>
                <w:lang w:val="fr-FR"/>
              </w:rPr>
              <w:t xml:space="preserve">non-physiques </w:t>
            </w:r>
            <w:r w:rsidR="00E334D4" w:rsidRPr="002A0AA5">
              <w:rPr>
                <w:sz w:val="18"/>
                <w:szCs w:val="18"/>
                <w:lang w:val="fr-FR"/>
              </w:rPr>
              <w:t>et des mauvaises pratiques pour remédier à cette situation. La tâche principale de cette entité dirigée par CICOS sera de collecter et de traiter les données du corridor afin de façonner jusqu'à 25 indicateurs qui seront utiles en termes de prise de décision et de mise en œuvre.</w:t>
            </w:r>
          </w:p>
          <w:p w:rsidR="00B45DA7" w:rsidRPr="002A0AA5" w:rsidRDefault="00B45DA7" w:rsidP="00924DF4">
            <w:pPr>
              <w:rPr>
                <w:b/>
                <w:sz w:val="18"/>
                <w:szCs w:val="18"/>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450" w:type="dxa"/>
          </w:tcPr>
          <w:p w:rsidR="0022359D" w:rsidRPr="002A0AA5" w:rsidRDefault="0022359D" w:rsidP="00847E7F">
            <w:pPr>
              <w:contextualSpacing/>
              <w:rPr>
                <w:lang w:val="fr-FR"/>
              </w:rPr>
            </w:pPr>
          </w:p>
        </w:tc>
        <w:tc>
          <w:tcPr>
            <w:tcW w:w="540" w:type="dxa"/>
          </w:tcPr>
          <w:p w:rsidR="0022359D" w:rsidRPr="002A0AA5" w:rsidRDefault="0022359D" w:rsidP="00847E7F">
            <w:pPr>
              <w:contextualSpacing/>
              <w:rPr>
                <w:lang w:val="fr-FR"/>
              </w:rPr>
            </w:pPr>
          </w:p>
        </w:tc>
        <w:tc>
          <w:tcPr>
            <w:tcW w:w="4770" w:type="dxa"/>
          </w:tcPr>
          <w:p w:rsidR="0022359D" w:rsidRPr="002A0AA5" w:rsidRDefault="0022359D" w:rsidP="00847E7F">
            <w:pPr>
              <w:contextualSpacing/>
              <w:rPr>
                <w:lang w:val="fr-FR"/>
              </w:rPr>
            </w:pPr>
          </w:p>
        </w:tc>
      </w:tr>
    </w:tbl>
    <w:p w:rsidR="00EE1EB7" w:rsidRDefault="00EE1EB7">
      <w:pPr>
        <w:rPr>
          <w:rFonts w:cs="Times New Roman"/>
          <w:b/>
          <w:bCs/>
          <w:color w:val="000000"/>
          <w:lang w:val="fr-FR"/>
        </w:rPr>
      </w:pPr>
      <w:r>
        <w:rPr>
          <w:rFonts w:cs="Times New Roman"/>
          <w:b/>
          <w:bCs/>
          <w:color w:val="000000"/>
          <w:lang w:val="fr-FR"/>
        </w:rPr>
        <w:br w:type="page"/>
      </w:r>
    </w:p>
    <w:p w:rsidR="00EB3763" w:rsidRPr="00541A92" w:rsidRDefault="00541A92" w:rsidP="00055249">
      <w:pPr>
        <w:pBdr>
          <w:bottom w:val="single" w:sz="6" w:space="1" w:color="auto"/>
        </w:pBdr>
        <w:autoSpaceDE w:val="0"/>
        <w:autoSpaceDN w:val="0"/>
        <w:adjustRightInd w:val="0"/>
        <w:spacing w:after="0" w:line="240" w:lineRule="auto"/>
        <w:rPr>
          <w:b/>
          <w:lang w:val="fr-FR"/>
        </w:rPr>
      </w:pPr>
      <w:r w:rsidRPr="00541A92">
        <w:rPr>
          <w:rFonts w:cs="Times New Roman"/>
          <w:b/>
          <w:bCs/>
          <w:color w:val="000000"/>
          <w:lang w:val="fr-FR"/>
        </w:rPr>
        <w:lastRenderedPageBreak/>
        <w:t>2</w:t>
      </w:r>
      <w:r w:rsidRPr="00541A92">
        <w:rPr>
          <w:rFonts w:cs="Times New Roman"/>
          <w:b/>
          <w:bCs/>
          <w:color w:val="000000"/>
          <w:vertAlign w:val="superscript"/>
          <w:lang w:val="fr-FR"/>
        </w:rPr>
        <w:t xml:space="preserve">EME </w:t>
      </w:r>
      <w:r w:rsidRPr="00541A92">
        <w:rPr>
          <w:rFonts w:cs="Times New Roman"/>
          <w:b/>
          <w:bCs/>
          <w:color w:val="000000"/>
          <w:lang w:val="fr-FR"/>
        </w:rPr>
        <w:t>JOUR: LE FACTEUR DE DURABILITE - V</w:t>
      </w:r>
      <w:r w:rsidR="00DA022D">
        <w:rPr>
          <w:rFonts w:cs="Times New Roman"/>
          <w:b/>
          <w:bCs/>
          <w:color w:val="000000"/>
          <w:lang w:val="fr-FR"/>
        </w:rPr>
        <w:t>ERS DES TRANSPORTS PROPRES ET SU</w:t>
      </w:r>
      <w:r w:rsidRPr="00541A92">
        <w:rPr>
          <w:rFonts w:cs="Times New Roman"/>
          <w:b/>
          <w:bCs/>
          <w:color w:val="000000"/>
          <w:lang w:val="fr-FR"/>
        </w:rPr>
        <w:t>RS POUR LES PAYS AFRICAINS</w:t>
      </w:r>
    </w:p>
    <w:p w:rsidR="005906BE" w:rsidRPr="00541A92" w:rsidRDefault="00541A92" w:rsidP="00781C4D">
      <w:pPr>
        <w:autoSpaceDE w:val="0"/>
        <w:autoSpaceDN w:val="0"/>
        <w:adjustRightInd w:val="0"/>
        <w:spacing w:before="200" w:line="240" w:lineRule="auto"/>
        <w:rPr>
          <w:lang w:val="fr-FR"/>
        </w:rPr>
      </w:pPr>
      <w:r w:rsidRPr="00541A92">
        <w:rPr>
          <w:rFonts w:cs="Times New Roman"/>
          <w:b/>
          <w:color w:val="000000"/>
          <w:lang w:val="fr-FR"/>
        </w:rPr>
        <w:t>F</w:t>
      </w:r>
      <w:r w:rsidRPr="006A22A4">
        <w:rPr>
          <w:rFonts w:cs="Times New Roman"/>
          <w:b/>
          <w:color w:val="000000"/>
          <w:lang w:val="fr-FR"/>
        </w:rPr>
        <w:t xml:space="preserve">orum Africain pour un </w:t>
      </w:r>
      <w:r>
        <w:rPr>
          <w:rFonts w:cs="Times New Roman"/>
          <w:b/>
          <w:color w:val="000000"/>
          <w:lang w:val="fr-FR"/>
        </w:rPr>
        <w:t>T</w:t>
      </w:r>
      <w:r w:rsidRPr="006A22A4">
        <w:rPr>
          <w:rFonts w:cs="Times New Roman"/>
          <w:b/>
          <w:color w:val="000000"/>
          <w:lang w:val="fr-FR"/>
        </w:rPr>
        <w:t xml:space="preserve">ransport </w:t>
      </w:r>
      <w:r>
        <w:rPr>
          <w:rFonts w:cs="Times New Roman"/>
          <w:b/>
          <w:color w:val="000000"/>
          <w:lang w:val="fr-FR"/>
        </w:rPr>
        <w:t>E</w:t>
      </w:r>
      <w:r w:rsidR="00B45DA7">
        <w:rPr>
          <w:rFonts w:cs="Times New Roman"/>
          <w:b/>
          <w:color w:val="000000"/>
          <w:lang w:val="fr-FR"/>
        </w:rPr>
        <w:t xml:space="preserve">cologiquement </w:t>
      </w:r>
      <w:r w:rsidRPr="006A22A4">
        <w:rPr>
          <w:rFonts w:cs="Times New Roman"/>
          <w:b/>
          <w:color w:val="000000"/>
          <w:lang w:val="fr-FR"/>
        </w:rPr>
        <w:t xml:space="preserve"> </w:t>
      </w:r>
      <w:r>
        <w:rPr>
          <w:rFonts w:cs="Times New Roman"/>
          <w:b/>
          <w:color w:val="000000"/>
          <w:lang w:val="fr-FR"/>
        </w:rPr>
        <w:t>D</w:t>
      </w:r>
      <w:r w:rsidRPr="006A22A4">
        <w:rPr>
          <w:rFonts w:cs="Times New Roman"/>
          <w:b/>
          <w:color w:val="000000"/>
          <w:lang w:val="fr-FR"/>
        </w:rPr>
        <w:t>urable</w:t>
      </w:r>
      <w:r w:rsidRPr="006A22A4">
        <w:rPr>
          <w:rFonts w:cs="Times New Roman"/>
          <w:color w:val="000000"/>
          <w:lang w:val="fr-FR"/>
        </w:rPr>
        <w:t xml:space="preserve"> </w:t>
      </w:r>
      <w:r>
        <w:rPr>
          <w:rFonts w:cs="Times New Roman"/>
          <w:color w:val="000000"/>
          <w:lang w:val="fr-FR"/>
        </w:rPr>
        <w:t>2014 (</w:t>
      </w:r>
      <w:r w:rsidRPr="005E02D5">
        <w:rPr>
          <w:rFonts w:cs="Times New Roman"/>
          <w:color w:val="000000"/>
          <w:lang w:val="fr-FR"/>
        </w:rPr>
        <w:t>EST- Afrique)</w:t>
      </w:r>
    </w:p>
    <w:tbl>
      <w:tblPr>
        <w:tblStyle w:val="TableGrid"/>
        <w:tblW w:w="0" w:type="auto"/>
        <w:tblLayout w:type="fixed"/>
        <w:tblLook w:val="04A0" w:firstRow="1" w:lastRow="0" w:firstColumn="1" w:lastColumn="0" w:noHBand="0" w:noVBand="1"/>
      </w:tblPr>
      <w:tblGrid>
        <w:gridCol w:w="1908"/>
        <w:gridCol w:w="4140"/>
        <w:gridCol w:w="450"/>
        <w:gridCol w:w="450"/>
        <w:gridCol w:w="450"/>
        <w:gridCol w:w="450"/>
        <w:gridCol w:w="540"/>
        <w:gridCol w:w="4770"/>
      </w:tblGrid>
      <w:tr w:rsidR="007350D1" w:rsidRPr="00E25667" w:rsidTr="00B45DA7">
        <w:tc>
          <w:tcPr>
            <w:tcW w:w="1908" w:type="dxa"/>
            <w:vMerge w:val="restart"/>
            <w:shd w:val="clear" w:color="auto" w:fill="E5DFEC" w:themeFill="accent4" w:themeFillTint="33"/>
            <w:vAlign w:val="center"/>
          </w:tcPr>
          <w:p w:rsidR="007350D1" w:rsidRPr="00B45DA7" w:rsidRDefault="007350D1" w:rsidP="007350D1">
            <w:pPr>
              <w:contextualSpacing/>
              <w:jc w:val="center"/>
              <w:rPr>
                <w:b/>
                <w:i/>
                <w:sz w:val="18"/>
                <w:szCs w:val="18"/>
                <w:lang w:val="fr-FR"/>
              </w:rPr>
            </w:pPr>
            <w:r w:rsidRPr="00B45DA7">
              <w:rPr>
                <w:b/>
                <w:i/>
                <w:sz w:val="18"/>
                <w:szCs w:val="18"/>
                <w:lang w:val="fr-FR"/>
              </w:rPr>
              <w:t>Titre de la session</w:t>
            </w:r>
          </w:p>
        </w:tc>
        <w:tc>
          <w:tcPr>
            <w:tcW w:w="4140" w:type="dxa"/>
            <w:vMerge w:val="restart"/>
            <w:shd w:val="clear" w:color="auto" w:fill="E5DFEC" w:themeFill="accent4" w:themeFillTint="33"/>
            <w:vAlign w:val="center"/>
          </w:tcPr>
          <w:p w:rsidR="007350D1" w:rsidRPr="00B45DA7" w:rsidRDefault="007350D1" w:rsidP="007350D1">
            <w:pPr>
              <w:contextualSpacing/>
              <w:jc w:val="center"/>
              <w:rPr>
                <w:b/>
                <w:i/>
                <w:sz w:val="18"/>
                <w:szCs w:val="18"/>
                <w:lang w:val="fr-FR"/>
              </w:rPr>
            </w:pPr>
            <w:r w:rsidRPr="00B45DA7">
              <w:rPr>
                <w:b/>
                <w:i/>
                <w:sz w:val="18"/>
                <w:szCs w:val="18"/>
                <w:lang w:val="fr-FR"/>
              </w:rPr>
              <w:t>Description</w:t>
            </w:r>
          </w:p>
        </w:tc>
        <w:tc>
          <w:tcPr>
            <w:tcW w:w="2340" w:type="dxa"/>
            <w:gridSpan w:val="5"/>
            <w:shd w:val="clear" w:color="auto" w:fill="E5DFEC" w:themeFill="accent4" w:themeFillTint="33"/>
            <w:vAlign w:val="center"/>
          </w:tcPr>
          <w:p w:rsidR="007350D1" w:rsidRPr="00B45DA7" w:rsidRDefault="007350D1" w:rsidP="007350D1">
            <w:pPr>
              <w:contextualSpacing/>
              <w:jc w:val="center"/>
              <w:rPr>
                <w:b/>
                <w:i/>
                <w:sz w:val="18"/>
                <w:szCs w:val="18"/>
                <w:lang w:val="fr-FR"/>
              </w:rPr>
            </w:pPr>
            <w:r w:rsidRPr="00B45DA7">
              <w:rPr>
                <w:b/>
                <w:i/>
                <w:sz w:val="18"/>
                <w:szCs w:val="18"/>
                <w:lang w:val="fr-FR"/>
              </w:rPr>
              <w:t>Comment classeriez-vous la séance? (Importance / pertinence du sujet)</w:t>
            </w:r>
          </w:p>
        </w:tc>
        <w:tc>
          <w:tcPr>
            <w:tcW w:w="4770" w:type="dxa"/>
            <w:vMerge w:val="restart"/>
            <w:shd w:val="clear" w:color="auto" w:fill="E5DFEC" w:themeFill="accent4" w:themeFillTint="33"/>
            <w:vAlign w:val="center"/>
          </w:tcPr>
          <w:p w:rsidR="007350D1" w:rsidRPr="00B45DA7" w:rsidRDefault="007350D1" w:rsidP="007350D1">
            <w:pPr>
              <w:contextualSpacing/>
              <w:jc w:val="center"/>
              <w:rPr>
                <w:b/>
                <w:i/>
                <w:sz w:val="18"/>
                <w:szCs w:val="18"/>
                <w:lang w:val="fr-FR"/>
              </w:rPr>
            </w:pPr>
            <w:r w:rsidRPr="00B45DA7">
              <w:rPr>
                <w:b/>
                <w:i/>
                <w:sz w:val="18"/>
                <w:szCs w:val="18"/>
                <w:lang w:val="fr-FR"/>
              </w:rPr>
              <w:t>Commentaires supplémentaires</w:t>
            </w:r>
          </w:p>
        </w:tc>
      </w:tr>
      <w:tr w:rsidR="002D0D57" w:rsidRPr="00E25667" w:rsidTr="00B45DA7">
        <w:tc>
          <w:tcPr>
            <w:tcW w:w="1908" w:type="dxa"/>
            <w:vMerge/>
            <w:shd w:val="clear" w:color="auto" w:fill="EEECE1" w:themeFill="background2"/>
          </w:tcPr>
          <w:p w:rsidR="0055555E" w:rsidRPr="00B45DA7" w:rsidRDefault="0055555E" w:rsidP="00847E7F">
            <w:pPr>
              <w:contextualSpacing/>
              <w:rPr>
                <w:sz w:val="18"/>
                <w:szCs w:val="18"/>
                <w:lang w:val="fr-FR"/>
              </w:rPr>
            </w:pPr>
          </w:p>
        </w:tc>
        <w:tc>
          <w:tcPr>
            <w:tcW w:w="4140" w:type="dxa"/>
            <w:vMerge/>
            <w:shd w:val="clear" w:color="auto" w:fill="EEECE1" w:themeFill="background2"/>
          </w:tcPr>
          <w:p w:rsidR="0055555E" w:rsidRPr="00B45DA7" w:rsidRDefault="0055555E" w:rsidP="00847E7F">
            <w:pPr>
              <w:contextualSpacing/>
              <w:rPr>
                <w:sz w:val="18"/>
                <w:szCs w:val="18"/>
                <w:lang w:val="fr-FR"/>
              </w:rPr>
            </w:pPr>
          </w:p>
        </w:tc>
        <w:tc>
          <w:tcPr>
            <w:tcW w:w="450" w:type="dxa"/>
            <w:shd w:val="clear" w:color="auto" w:fill="E5DFEC" w:themeFill="accent4" w:themeFillTint="33"/>
          </w:tcPr>
          <w:p w:rsidR="0055555E" w:rsidRPr="00B45DA7" w:rsidRDefault="0055555E" w:rsidP="00847E7F">
            <w:pPr>
              <w:contextualSpacing/>
              <w:rPr>
                <w:b/>
                <w:sz w:val="18"/>
                <w:szCs w:val="18"/>
                <w:lang w:val="fr-FR"/>
              </w:rPr>
            </w:pPr>
            <w:r w:rsidRPr="00B45DA7">
              <w:rPr>
                <w:b/>
                <w:sz w:val="18"/>
                <w:szCs w:val="18"/>
                <w:lang w:val="fr-FR"/>
              </w:rPr>
              <w:t>0</w:t>
            </w:r>
          </w:p>
        </w:tc>
        <w:tc>
          <w:tcPr>
            <w:tcW w:w="450" w:type="dxa"/>
            <w:shd w:val="clear" w:color="auto" w:fill="E5DFEC" w:themeFill="accent4" w:themeFillTint="33"/>
          </w:tcPr>
          <w:p w:rsidR="0055555E" w:rsidRPr="00B45DA7" w:rsidRDefault="0055555E" w:rsidP="00847E7F">
            <w:pPr>
              <w:contextualSpacing/>
              <w:rPr>
                <w:b/>
                <w:sz w:val="18"/>
                <w:szCs w:val="18"/>
                <w:lang w:val="fr-FR"/>
              </w:rPr>
            </w:pPr>
            <w:r w:rsidRPr="00B45DA7">
              <w:rPr>
                <w:b/>
                <w:sz w:val="18"/>
                <w:szCs w:val="18"/>
                <w:lang w:val="fr-FR"/>
              </w:rPr>
              <w:t>1</w:t>
            </w:r>
          </w:p>
        </w:tc>
        <w:tc>
          <w:tcPr>
            <w:tcW w:w="450" w:type="dxa"/>
            <w:shd w:val="clear" w:color="auto" w:fill="E5DFEC" w:themeFill="accent4" w:themeFillTint="33"/>
          </w:tcPr>
          <w:p w:rsidR="0055555E" w:rsidRPr="00B45DA7" w:rsidRDefault="0055555E" w:rsidP="00847E7F">
            <w:pPr>
              <w:contextualSpacing/>
              <w:rPr>
                <w:b/>
                <w:sz w:val="18"/>
                <w:szCs w:val="18"/>
                <w:lang w:val="fr-FR"/>
              </w:rPr>
            </w:pPr>
            <w:r w:rsidRPr="00B45DA7">
              <w:rPr>
                <w:b/>
                <w:sz w:val="18"/>
                <w:szCs w:val="18"/>
                <w:lang w:val="fr-FR"/>
              </w:rPr>
              <w:t>2</w:t>
            </w:r>
          </w:p>
        </w:tc>
        <w:tc>
          <w:tcPr>
            <w:tcW w:w="450" w:type="dxa"/>
            <w:shd w:val="clear" w:color="auto" w:fill="E5DFEC" w:themeFill="accent4" w:themeFillTint="33"/>
          </w:tcPr>
          <w:p w:rsidR="0055555E" w:rsidRPr="00B45DA7" w:rsidRDefault="0055555E" w:rsidP="00847E7F">
            <w:pPr>
              <w:contextualSpacing/>
              <w:rPr>
                <w:b/>
                <w:sz w:val="18"/>
                <w:szCs w:val="18"/>
                <w:lang w:val="fr-FR"/>
              </w:rPr>
            </w:pPr>
            <w:r w:rsidRPr="00B45DA7">
              <w:rPr>
                <w:b/>
                <w:sz w:val="18"/>
                <w:szCs w:val="18"/>
                <w:lang w:val="fr-FR"/>
              </w:rPr>
              <w:t>3</w:t>
            </w:r>
          </w:p>
        </w:tc>
        <w:tc>
          <w:tcPr>
            <w:tcW w:w="540" w:type="dxa"/>
            <w:shd w:val="clear" w:color="auto" w:fill="E5DFEC" w:themeFill="accent4" w:themeFillTint="33"/>
          </w:tcPr>
          <w:p w:rsidR="0055555E" w:rsidRPr="00B45DA7" w:rsidRDefault="0055555E" w:rsidP="00847E7F">
            <w:pPr>
              <w:contextualSpacing/>
              <w:rPr>
                <w:b/>
                <w:sz w:val="18"/>
                <w:szCs w:val="18"/>
                <w:lang w:val="fr-FR"/>
              </w:rPr>
            </w:pPr>
            <w:r w:rsidRPr="00B45DA7">
              <w:rPr>
                <w:b/>
                <w:sz w:val="18"/>
                <w:szCs w:val="18"/>
                <w:lang w:val="fr-FR"/>
              </w:rPr>
              <w:t>4</w:t>
            </w:r>
          </w:p>
        </w:tc>
        <w:tc>
          <w:tcPr>
            <w:tcW w:w="4770" w:type="dxa"/>
            <w:vMerge/>
            <w:shd w:val="clear" w:color="auto" w:fill="EEECE1" w:themeFill="background2"/>
          </w:tcPr>
          <w:p w:rsidR="0055555E" w:rsidRPr="00B45DA7" w:rsidRDefault="0055555E" w:rsidP="00847E7F">
            <w:pPr>
              <w:contextualSpacing/>
              <w:rPr>
                <w:sz w:val="18"/>
                <w:szCs w:val="18"/>
                <w:lang w:val="fr-FR"/>
              </w:rPr>
            </w:pPr>
          </w:p>
        </w:tc>
      </w:tr>
      <w:tr w:rsidR="002D0D57" w:rsidRPr="007C077B" w:rsidTr="00A640E7">
        <w:tc>
          <w:tcPr>
            <w:tcW w:w="1908" w:type="dxa"/>
          </w:tcPr>
          <w:p w:rsidR="0055555E" w:rsidRPr="00B45DA7" w:rsidRDefault="0026148F" w:rsidP="00924DF4">
            <w:pPr>
              <w:contextualSpacing/>
              <w:rPr>
                <w:sz w:val="18"/>
                <w:szCs w:val="18"/>
                <w:lang w:val="fr-FR"/>
              </w:rPr>
            </w:pPr>
            <w:r w:rsidRPr="00B45DA7">
              <w:rPr>
                <w:b/>
                <w:sz w:val="18"/>
                <w:szCs w:val="18"/>
                <w:lang w:val="fr-FR"/>
              </w:rPr>
              <w:t>Forum Africain pour un Transport E</w:t>
            </w:r>
            <w:r w:rsidR="00B45DA7" w:rsidRPr="00B45DA7">
              <w:rPr>
                <w:b/>
                <w:sz w:val="18"/>
                <w:szCs w:val="18"/>
                <w:lang w:val="fr-FR"/>
              </w:rPr>
              <w:t>cologiquement</w:t>
            </w:r>
            <w:r w:rsidRPr="00B45DA7">
              <w:rPr>
                <w:b/>
                <w:sz w:val="18"/>
                <w:szCs w:val="18"/>
                <w:lang w:val="fr-FR"/>
              </w:rPr>
              <w:t xml:space="preserve"> Durable 2014</w:t>
            </w:r>
          </w:p>
        </w:tc>
        <w:tc>
          <w:tcPr>
            <w:tcW w:w="4140" w:type="dxa"/>
          </w:tcPr>
          <w:p w:rsidR="0055555E" w:rsidRDefault="0055555E" w:rsidP="00924DF4">
            <w:pPr>
              <w:autoSpaceDE w:val="0"/>
              <w:autoSpaceDN w:val="0"/>
              <w:adjustRightInd w:val="0"/>
              <w:rPr>
                <w:sz w:val="18"/>
                <w:szCs w:val="18"/>
                <w:lang w:val="fr-FR"/>
              </w:rPr>
            </w:pPr>
            <w:r w:rsidRPr="00B45DA7">
              <w:rPr>
                <w:sz w:val="18"/>
                <w:szCs w:val="18"/>
                <w:lang w:val="fr-FR"/>
              </w:rPr>
              <w:t xml:space="preserve">(EST-Africa): </w:t>
            </w:r>
            <w:r w:rsidR="0026148F" w:rsidRPr="00B45DA7">
              <w:rPr>
                <w:sz w:val="18"/>
                <w:szCs w:val="18"/>
                <w:lang w:val="fr-FR"/>
              </w:rPr>
              <w:t xml:space="preserve">Cette session présentera le Forum Africain pour un Transport </w:t>
            </w:r>
            <w:r w:rsidR="00924DF4" w:rsidRPr="00B45DA7">
              <w:rPr>
                <w:sz w:val="18"/>
                <w:szCs w:val="18"/>
                <w:lang w:val="fr-FR"/>
              </w:rPr>
              <w:t>E</w:t>
            </w:r>
            <w:r w:rsidR="00B45DA7" w:rsidRPr="00B45DA7">
              <w:rPr>
                <w:rFonts w:cs="Times New Roman"/>
                <w:color w:val="000000"/>
                <w:sz w:val="18"/>
                <w:szCs w:val="18"/>
                <w:lang w:val="fr-FR"/>
              </w:rPr>
              <w:t>cologiquement</w:t>
            </w:r>
            <w:r w:rsidR="00924DF4" w:rsidRPr="00B45DA7">
              <w:rPr>
                <w:rFonts w:cs="Times New Roman"/>
                <w:b/>
                <w:color w:val="000000"/>
                <w:lang w:val="fr-FR"/>
              </w:rPr>
              <w:t xml:space="preserve"> </w:t>
            </w:r>
            <w:r w:rsidR="0026148F" w:rsidRPr="00B45DA7">
              <w:rPr>
                <w:sz w:val="18"/>
                <w:szCs w:val="18"/>
                <w:lang w:val="fr-FR"/>
              </w:rPr>
              <w:t xml:space="preserve">Durable (EST-Afrique), </w:t>
            </w:r>
            <w:r w:rsidR="00924DF4" w:rsidRPr="00B45DA7">
              <w:rPr>
                <w:sz w:val="18"/>
                <w:szCs w:val="18"/>
                <w:lang w:val="fr-FR"/>
              </w:rPr>
              <w:t xml:space="preserve">dont la </w:t>
            </w:r>
            <w:r w:rsidR="0026148F" w:rsidRPr="00B45DA7">
              <w:rPr>
                <w:sz w:val="18"/>
                <w:szCs w:val="18"/>
                <w:lang w:val="fr-FR"/>
              </w:rPr>
              <w:t xml:space="preserve">première édition sera organisée par le SSATP en partenariat avec les agences des Nations Unies en 2014. L'EST-Afrique </w:t>
            </w:r>
            <w:r w:rsidR="00924DF4" w:rsidRPr="00B45DA7">
              <w:rPr>
                <w:sz w:val="18"/>
                <w:szCs w:val="18"/>
                <w:lang w:val="fr-FR"/>
              </w:rPr>
              <w:t xml:space="preserve">est </w:t>
            </w:r>
            <w:r w:rsidR="0026148F" w:rsidRPr="00B45DA7">
              <w:rPr>
                <w:sz w:val="18"/>
                <w:szCs w:val="18"/>
                <w:lang w:val="fr-FR"/>
              </w:rPr>
              <w:t xml:space="preserve">une occasion unique pour les principaux intervenants sur le continent africain de discuter de l'importance et des avantages des politiques du transport durable, afin d'explorer des moyens de concilier la croissance économique et les considérations environnementales, et de </w:t>
            </w:r>
            <w:r w:rsidR="00924DF4" w:rsidRPr="00B45DA7">
              <w:rPr>
                <w:sz w:val="18"/>
                <w:szCs w:val="18"/>
                <w:lang w:val="fr-FR"/>
              </w:rPr>
              <w:t>permettre</w:t>
            </w:r>
            <w:r w:rsidR="0026148F" w:rsidRPr="00B45DA7">
              <w:rPr>
                <w:sz w:val="18"/>
                <w:szCs w:val="18"/>
                <w:lang w:val="fr-FR"/>
              </w:rPr>
              <w:t xml:space="preserve"> une plus grande adaptation au changement climatique.</w:t>
            </w:r>
          </w:p>
          <w:p w:rsidR="00B45DA7" w:rsidRPr="00B45DA7" w:rsidRDefault="00B45DA7" w:rsidP="00924DF4">
            <w:pPr>
              <w:autoSpaceDE w:val="0"/>
              <w:autoSpaceDN w:val="0"/>
              <w:adjustRightInd w:val="0"/>
              <w:rPr>
                <w:sz w:val="18"/>
                <w:szCs w:val="18"/>
                <w:lang w:val="fr-FR"/>
              </w:rPr>
            </w:pPr>
          </w:p>
        </w:tc>
        <w:tc>
          <w:tcPr>
            <w:tcW w:w="450" w:type="dxa"/>
          </w:tcPr>
          <w:p w:rsidR="0055555E" w:rsidRPr="00B45DA7" w:rsidRDefault="0055555E" w:rsidP="00847E7F">
            <w:pPr>
              <w:contextualSpacing/>
              <w:rPr>
                <w:sz w:val="18"/>
                <w:szCs w:val="18"/>
                <w:lang w:val="fr-FR"/>
              </w:rPr>
            </w:pPr>
          </w:p>
        </w:tc>
        <w:tc>
          <w:tcPr>
            <w:tcW w:w="450" w:type="dxa"/>
          </w:tcPr>
          <w:p w:rsidR="0055555E" w:rsidRPr="00B45DA7" w:rsidRDefault="0055555E" w:rsidP="00847E7F">
            <w:pPr>
              <w:contextualSpacing/>
              <w:rPr>
                <w:sz w:val="18"/>
                <w:szCs w:val="18"/>
                <w:lang w:val="fr-FR"/>
              </w:rPr>
            </w:pPr>
          </w:p>
        </w:tc>
        <w:tc>
          <w:tcPr>
            <w:tcW w:w="450" w:type="dxa"/>
          </w:tcPr>
          <w:p w:rsidR="0055555E" w:rsidRPr="00B45DA7" w:rsidRDefault="0055555E" w:rsidP="00847E7F">
            <w:pPr>
              <w:contextualSpacing/>
              <w:rPr>
                <w:sz w:val="18"/>
                <w:szCs w:val="18"/>
                <w:lang w:val="fr-FR"/>
              </w:rPr>
            </w:pPr>
          </w:p>
        </w:tc>
        <w:tc>
          <w:tcPr>
            <w:tcW w:w="450" w:type="dxa"/>
          </w:tcPr>
          <w:p w:rsidR="0055555E" w:rsidRPr="00B45DA7" w:rsidRDefault="0055555E" w:rsidP="00847E7F">
            <w:pPr>
              <w:contextualSpacing/>
              <w:rPr>
                <w:sz w:val="18"/>
                <w:szCs w:val="18"/>
                <w:lang w:val="fr-FR"/>
              </w:rPr>
            </w:pPr>
          </w:p>
        </w:tc>
        <w:tc>
          <w:tcPr>
            <w:tcW w:w="540" w:type="dxa"/>
          </w:tcPr>
          <w:p w:rsidR="0055555E" w:rsidRPr="00B45DA7" w:rsidRDefault="0055555E" w:rsidP="00847E7F">
            <w:pPr>
              <w:contextualSpacing/>
              <w:rPr>
                <w:sz w:val="18"/>
                <w:szCs w:val="18"/>
                <w:lang w:val="fr-FR"/>
              </w:rPr>
            </w:pPr>
          </w:p>
        </w:tc>
        <w:tc>
          <w:tcPr>
            <w:tcW w:w="4770" w:type="dxa"/>
          </w:tcPr>
          <w:p w:rsidR="0055555E" w:rsidRPr="00B45DA7" w:rsidRDefault="0055555E" w:rsidP="00847E7F">
            <w:pPr>
              <w:contextualSpacing/>
              <w:rPr>
                <w:sz w:val="18"/>
                <w:szCs w:val="18"/>
                <w:lang w:val="fr-FR"/>
              </w:rPr>
            </w:pPr>
          </w:p>
        </w:tc>
      </w:tr>
    </w:tbl>
    <w:p w:rsidR="00B45DA7" w:rsidRPr="00781C4D" w:rsidRDefault="00EE1EB7" w:rsidP="00781C4D">
      <w:pPr>
        <w:autoSpaceDE w:val="0"/>
        <w:autoSpaceDN w:val="0"/>
        <w:adjustRightInd w:val="0"/>
        <w:spacing w:before="120" w:after="120" w:line="240" w:lineRule="auto"/>
        <w:rPr>
          <w:b/>
          <w:i/>
          <w:sz w:val="24"/>
          <w:szCs w:val="24"/>
          <w:lang w:val="fr-FR"/>
        </w:rPr>
      </w:pPr>
      <w:r w:rsidRPr="00781C4D">
        <w:rPr>
          <w:b/>
          <w:i/>
          <w:sz w:val="24"/>
          <w:szCs w:val="24"/>
          <w:lang w:val="fr-FR"/>
        </w:rPr>
        <w:t>A</w:t>
      </w:r>
      <w:r w:rsidR="00541A92" w:rsidRPr="00781C4D">
        <w:rPr>
          <w:b/>
          <w:i/>
          <w:sz w:val="24"/>
          <w:szCs w:val="24"/>
          <w:lang w:val="fr-FR"/>
        </w:rPr>
        <w:t xml:space="preserve">tténuation </w:t>
      </w:r>
      <w:r w:rsidRPr="00781C4D">
        <w:rPr>
          <w:b/>
          <w:i/>
          <w:sz w:val="24"/>
          <w:szCs w:val="24"/>
          <w:lang w:val="fr-FR"/>
        </w:rPr>
        <w:t>et adaptation au changement climatique</w:t>
      </w:r>
    </w:p>
    <w:tbl>
      <w:tblPr>
        <w:tblStyle w:val="TableGrid"/>
        <w:tblW w:w="5049" w:type="pct"/>
        <w:tblLayout w:type="fixed"/>
        <w:tblLook w:val="04A0" w:firstRow="1" w:lastRow="0" w:firstColumn="1" w:lastColumn="0" w:noHBand="0" w:noVBand="1"/>
      </w:tblPr>
      <w:tblGrid>
        <w:gridCol w:w="1908"/>
        <w:gridCol w:w="4138"/>
        <w:gridCol w:w="396"/>
        <w:gridCol w:w="53"/>
        <w:gridCol w:w="410"/>
        <w:gridCol w:w="43"/>
        <w:gridCol w:w="420"/>
        <w:gridCol w:w="29"/>
        <w:gridCol w:w="434"/>
        <w:gridCol w:w="16"/>
        <w:gridCol w:w="540"/>
        <w:gridCol w:w="4918"/>
      </w:tblGrid>
      <w:tr w:rsidR="007350D1" w:rsidRPr="00320541" w:rsidTr="00781C4D">
        <w:trPr>
          <w:cantSplit/>
          <w:tblHeader/>
        </w:trPr>
        <w:tc>
          <w:tcPr>
            <w:tcW w:w="717"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Titre de la session</w:t>
            </w:r>
          </w:p>
        </w:tc>
        <w:tc>
          <w:tcPr>
            <w:tcW w:w="1555"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Description</w:t>
            </w:r>
          </w:p>
        </w:tc>
        <w:tc>
          <w:tcPr>
            <w:tcW w:w="880" w:type="pct"/>
            <w:gridSpan w:val="9"/>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Comment classeriez-vous la séance? (Importance / pertinence du sujet)</w:t>
            </w:r>
          </w:p>
        </w:tc>
        <w:tc>
          <w:tcPr>
            <w:tcW w:w="1848"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Commentaires supplémentaires</w:t>
            </w:r>
          </w:p>
        </w:tc>
      </w:tr>
      <w:tr w:rsidR="00763052" w:rsidRPr="00320541" w:rsidTr="00781C4D">
        <w:trPr>
          <w:cantSplit/>
          <w:tblHeader/>
        </w:trPr>
        <w:tc>
          <w:tcPr>
            <w:tcW w:w="717" w:type="pct"/>
            <w:vMerge/>
            <w:vAlign w:val="center"/>
          </w:tcPr>
          <w:p w:rsidR="00763052" w:rsidRPr="00781C4D" w:rsidRDefault="00763052" w:rsidP="00763052">
            <w:pPr>
              <w:contextualSpacing/>
              <w:jc w:val="center"/>
              <w:rPr>
                <w:sz w:val="18"/>
                <w:szCs w:val="18"/>
                <w:lang w:val="fr-FR"/>
              </w:rPr>
            </w:pPr>
          </w:p>
        </w:tc>
        <w:tc>
          <w:tcPr>
            <w:tcW w:w="1555" w:type="pct"/>
            <w:vMerge/>
            <w:vAlign w:val="center"/>
          </w:tcPr>
          <w:p w:rsidR="00763052" w:rsidRPr="00781C4D" w:rsidRDefault="00763052" w:rsidP="00763052">
            <w:pPr>
              <w:contextualSpacing/>
              <w:jc w:val="center"/>
              <w:rPr>
                <w:sz w:val="18"/>
                <w:szCs w:val="18"/>
                <w:lang w:val="fr-FR"/>
              </w:rPr>
            </w:pPr>
          </w:p>
        </w:tc>
        <w:tc>
          <w:tcPr>
            <w:tcW w:w="149" w:type="pct"/>
            <w:shd w:val="clear" w:color="auto" w:fill="E5DFEC" w:themeFill="accent4" w:themeFillTint="33"/>
            <w:vAlign w:val="center"/>
          </w:tcPr>
          <w:p w:rsidR="00763052" w:rsidRPr="00781C4D" w:rsidRDefault="00763052" w:rsidP="00763052">
            <w:pPr>
              <w:contextualSpacing/>
              <w:jc w:val="center"/>
              <w:rPr>
                <w:b/>
                <w:sz w:val="18"/>
                <w:szCs w:val="18"/>
                <w:lang w:val="fr-FR"/>
              </w:rPr>
            </w:pPr>
            <w:r w:rsidRPr="00781C4D">
              <w:rPr>
                <w:b/>
                <w:sz w:val="18"/>
                <w:szCs w:val="18"/>
                <w:lang w:val="fr-FR"/>
              </w:rPr>
              <w:t>0</w:t>
            </w:r>
          </w:p>
        </w:tc>
        <w:tc>
          <w:tcPr>
            <w:tcW w:w="174" w:type="pct"/>
            <w:gridSpan w:val="2"/>
            <w:shd w:val="clear" w:color="auto" w:fill="E5DFEC" w:themeFill="accent4" w:themeFillTint="33"/>
            <w:vAlign w:val="center"/>
          </w:tcPr>
          <w:p w:rsidR="00763052" w:rsidRPr="00781C4D" w:rsidRDefault="00763052" w:rsidP="00763052">
            <w:pPr>
              <w:contextualSpacing/>
              <w:jc w:val="center"/>
              <w:rPr>
                <w:b/>
                <w:sz w:val="18"/>
                <w:szCs w:val="18"/>
                <w:lang w:val="fr-FR"/>
              </w:rPr>
            </w:pPr>
            <w:r w:rsidRPr="00781C4D">
              <w:rPr>
                <w:b/>
                <w:sz w:val="18"/>
                <w:szCs w:val="18"/>
                <w:lang w:val="fr-FR"/>
              </w:rPr>
              <w:t>1</w:t>
            </w:r>
          </w:p>
        </w:tc>
        <w:tc>
          <w:tcPr>
            <w:tcW w:w="174" w:type="pct"/>
            <w:gridSpan w:val="2"/>
            <w:shd w:val="clear" w:color="auto" w:fill="E5DFEC" w:themeFill="accent4" w:themeFillTint="33"/>
            <w:vAlign w:val="center"/>
          </w:tcPr>
          <w:p w:rsidR="00763052" w:rsidRPr="00781C4D" w:rsidRDefault="00763052" w:rsidP="00763052">
            <w:pPr>
              <w:contextualSpacing/>
              <w:jc w:val="center"/>
              <w:rPr>
                <w:b/>
                <w:sz w:val="18"/>
                <w:szCs w:val="18"/>
                <w:lang w:val="fr-FR"/>
              </w:rPr>
            </w:pPr>
            <w:r w:rsidRPr="00781C4D">
              <w:rPr>
                <w:b/>
                <w:sz w:val="18"/>
                <w:szCs w:val="18"/>
                <w:lang w:val="fr-FR"/>
              </w:rPr>
              <w:t>2</w:t>
            </w:r>
          </w:p>
        </w:tc>
        <w:tc>
          <w:tcPr>
            <w:tcW w:w="174" w:type="pct"/>
            <w:gridSpan w:val="2"/>
            <w:shd w:val="clear" w:color="auto" w:fill="E5DFEC" w:themeFill="accent4" w:themeFillTint="33"/>
            <w:vAlign w:val="center"/>
          </w:tcPr>
          <w:p w:rsidR="00763052" w:rsidRPr="00781C4D" w:rsidRDefault="00763052" w:rsidP="00763052">
            <w:pPr>
              <w:contextualSpacing/>
              <w:jc w:val="center"/>
              <w:rPr>
                <w:b/>
                <w:sz w:val="18"/>
                <w:szCs w:val="18"/>
                <w:lang w:val="fr-FR"/>
              </w:rPr>
            </w:pPr>
            <w:r w:rsidRPr="00781C4D">
              <w:rPr>
                <w:b/>
                <w:sz w:val="18"/>
                <w:szCs w:val="18"/>
                <w:lang w:val="fr-FR"/>
              </w:rPr>
              <w:t>3</w:t>
            </w:r>
          </w:p>
        </w:tc>
        <w:tc>
          <w:tcPr>
            <w:tcW w:w="209" w:type="pct"/>
            <w:gridSpan w:val="2"/>
            <w:shd w:val="clear" w:color="auto" w:fill="E5DFEC" w:themeFill="accent4" w:themeFillTint="33"/>
            <w:vAlign w:val="center"/>
          </w:tcPr>
          <w:p w:rsidR="00763052" w:rsidRPr="00781C4D" w:rsidRDefault="00763052" w:rsidP="00763052">
            <w:pPr>
              <w:contextualSpacing/>
              <w:jc w:val="center"/>
              <w:rPr>
                <w:b/>
                <w:sz w:val="18"/>
                <w:szCs w:val="18"/>
                <w:lang w:val="fr-FR"/>
              </w:rPr>
            </w:pPr>
            <w:r w:rsidRPr="00781C4D">
              <w:rPr>
                <w:b/>
                <w:sz w:val="18"/>
                <w:szCs w:val="18"/>
                <w:lang w:val="fr-FR"/>
              </w:rPr>
              <w:t>4</w:t>
            </w:r>
          </w:p>
        </w:tc>
        <w:tc>
          <w:tcPr>
            <w:tcW w:w="1848" w:type="pct"/>
            <w:vMerge/>
            <w:shd w:val="clear" w:color="auto" w:fill="E5DFEC" w:themeFill="accent4" w:themeFillTint="33"/>
            <w:vAlign w:val="center"/>
          </w:tcPr>
          <w:p w:rsidR="00763052" w:rsidRPr="00781C4D" w:rsidRDefault="00763052" w:rsidP="00763052">
            <w:pPr>
              <w:contextualSpacing/>
              <w:jc w:val="center"/>
              <w:rPr>
                <w:sz w:val="18"/>
                <w:szCs w:val="18"/>
                <w:lang w:val="fr-FR"/>
              </w:rPr>
            </w:pPr>
          </w:p>
        </w:tc>
      </w:tr>
      <w:tr w:rsidR="00320541" w:rsidRPr="007C077B" w:rsidTr="00A640E7">
        <w:tc>
          <w:tcPr>
            <w:tcW w:w="717" w:type="pct"/>
          </w:tcPr>
          <w:p w:rsidR="005906BE" w:rsidRPr="00781C4D" w:rsidRDefault="0026148F" w:rsidP="0026148F">
            <w:pPr>
              <w:contextualSpacing/>
              <w:rPr>
                <w:sz w:val="18"/>
                <w:szCs w:val="18"/>
                <w:lang w:val="fr-FR"/>
              </w:rPr>
            </w:pPr>
            <w:r w:rsidRPr="00781C4D">
              <w:rPr>
                <w:b/>
                <w:sz w:val="18"/>
                <w:szCs w:val="18"/>
                <w:lang w:val="fr-FR"/>
              </w:rPr>
              <w:t xml:space="preserve">Initiative mondiale sur l'économie des carburants </w:t>
            </w:r>
            <w:r w:rsidR="005906BE" w:rsidRPr="00781C4D">
              <w:rPr>
                <w:b/>
                <w:sz w:val="18"/>
                <w:szCs w:val="18"/>
                <w:lang w:val="fr-FR"/>
              </w:rPr>
              <w:t>(GEFI)</w:t>
            </w:r>
          </w:p>
        </w:tc>
        <w:tc>
          <w:tcPr>
            <w:tcW w:w="1555" w:type="pct"/>
          </w:tcPr>
          <w:p w:rsidR="00781C4D" w:rsidRDefault="005906BE" w:rsidP="00924DF4">
            <w:pPr>
              <w:contextualSpacing/>
              <w:rPr>
                <w:sz w:val="18"/>
                <w:szCs w:val="18"/>
                <w:lang w:val="fr-FR"/>
              </w:rPr>
            </w:pPr>
            <w:r w:rsidRPr="00781C4D">
              <w:rPr>
                <w:sz w:val="18"/>
                <w:szCs w:val="18"/>
                <w:lang w:val="fr-FR"/>
              </w:rPr>
              <w:t xml:space="preserve">GEFI </w:t>
            </w:r>
            <w:r w:rsidR="0026148F" w:rsidRPr="00781C4D">
              <w:rPr>
                <w:sz w:val="18"/>
                <w:szCs w:val="18"/>
                <w:lang w:val="fr-FR"/>
              </w:rPr>
              <w:t xml:space="preserve">aide les pays à adopter des normes efficaces d'économie de carburant et des politiques adaptées à leurs besoins, mène des recherches sur les potentiels d'économie de carburant par pays et par région, et travaille avec de multiples parties prenantes (gouvernements, fabricants de véhicules, etc.) afin de promouvoir un agenda </w:t>
            </w:r>
            <w:r w:rsidR="00924DF4" w:rsidRPr="00781C4D">
              <w:rPr>
                <w:sz w:val="18"/>
                <w:szCs w:val="18"/>
                <w:lang w:val="fr-FR"/>
              </w:rPr>
              <w:t>plus proactif pour</w:t>
            </w:r>
            <w:r w:rsidR="0026148F" w:rsidRPr="00781C4D">
              <w:rPr>
                <w:sz w:val="18"/>
                <w:szCs w:val="18"/>
                <w:lang w:val="fr-FR"/>
              </w:rPr>
              <w:t xml:space="preserve"> l'économie de</w:t>
            </w:r>
            <w:r w:rsidR="00924DF4" w:rsidRPr="00781C4D">
              <w:rPr>
                <w:sz w:val="18"/>
                <w:szCs w:val="18"/>
                <w:lang w:val="fr-FR"/>
              </w:rPr>
              <w:t xml:space="preserve"> l’énergie</w:t>
            </w:r>
            <w:r w:rsidR="0026148F" w:rsidRPr="00781C4D">
              <w:rPr>
                <w:sz w:val="18"/>
                <w:szCs w:val="18"/>
                <w:lang w:val="fr-FR"/>
              </w:rPr>
              <w:t xml:space="preserve">. En Afrique, GEFI se concentre plus particulièrement sur les restrictions à l'importation et les taxes sur les carburants. Il est soutenu par des partenaires tels que le Fond </w:t>
            </w:r>
            <w:r w:rsidR="0098364D" w:rsidRPr="00781C4D">
              <w:rPr>
                <w:sz w:val="18"/>
                <w:szCs w:val="18"/>
                <w:lang w:val="fr-FR"/>
              </w:rPr>
              <w:t>M</w:t>
            </w:r>
            <w:r w:rsidR="0026148F" w:rsidRPr="00781C4D">
              <w:rPr>
                <w:sz w:val="18"/>
                <w:szCs w:val="18"/>
                <w:lang w:val="fr-FR"/>
              </w:rPr>
              <w:t>ondial pour l'</w:t>
            </w:r>
            <w:r w:rsidR="0098364D" w:rsidRPr="00781C4D">
              <w:rPr>
                <w:sz w:val="18"/>
                <w:szCs w:val="18"/>
                <w:lang w:val="fr-FR"/>
              </w:rPr>
              <w:t>E</w:t>
            </w:r>
            <w:r w:rsidR="0026148F" w:rsidRPr="00781C4D">
              <w:rPr>
                <w:sz w:val="18"/>
                <w:szCs w:val="18"/>
                <w:lang w:val="fr-FR"/>
              </w:rPr>
              <w:t>nvironnement (GEF)</w:t>
            </w:r>
            <w:r w:rsidR="0098364D" w:rsidRPr="00781C4D">
              <w:rPr>
                <w:sz w:val="18"/>
                <w:szCs w:val="18"/>
                <w:lang w:val="fr-FR"/>
              </w:rPr>
              <w:t>, le Forum International du Transport (</w:t>
            </w:r>
            <w:r w:rsidR="0026148F" w:rsidRPr="00781C4D">
              <w:rPr>
                <w:sz w:val="18"/>
                <w:szCs w:val="18"/>
                <w:lang w:val="fr-FR"/>
              </w:rPr>
              <w:t>ITF</w:t>
            </w:r>
            <w:r w:rsidR="0098364D" w:rsidRPr="00781C4D">
              <w:rPr>
                <w:sz w:val="18"/>
                <w:szCs w:val="18"/>
                <w:lang w:val="fr-FR"/>
              </w:rPr>
              <w:t>)</w:t>
            </w:r>
            <w:r w:rsidR="0026148F" w:rsidRPr="00781C4D">
              <w:rPr>
                <w:sz w:val="18"/>
                <w:szCs w:val="18"/>
                <w:lang w:val="fr-FR"/>
              </w:rPr>
              <w:t>, la Fondation FIA et le PNU</w:t>
            </w:r>
            <w:r w:rsidR="00924DF4" w:rsidRPr="00781C4D">
              <w:rPr>
                <w:sz w:val="18"/>
                <w:szCs w:val="18"/>
                <w:lang w:val="fr-FR"/>
              </w:rPr>
              <w:t>E</w:t>
            </w:r>
            <w:r w:rsidR="0026148F" w:rsidRPr="00781C4D">
              <w:rPr>
                <w:sz w:val="18"/>
                <w:szCs w:val="18"/>
                <w:lang w:val="fr-FR"/>
              </w:rPr>
              <w:t>.</w:t>
            </w:r>
          </w:p>
          <w:p w:rsidR="00781C4D" w:rsidRPr="00781C4D" w:rsidRDefault="00781C4D" w:rsidP="00924DF4">
            <w:pPr>
              <w:contextualSpacing/>
              <w:rPr>
                <w:sz w:val="18"/>
                <w:szCs w:val="18"/>
                <w:lang w:val="fr-FR"/>
              </w:rPr>
            </w:pPr>
          </w:p>
        </w:tc>
        <w:tc>
          <w:tcPr>
            <w:tcW w:w="149" w:type="pct"/>
          </w:tcPr>
          <w:p w:rsidR="005906BE" w:rsidRPr="00781C4D" w:rsidRDefault="005906BE" w:rsidP="00847E7F">
            <w:pPr>
              <w:contextualSpacing/>
              <w:rPr>
                <w:sz w:val="18"/>
                <w:szCs w:val="18"/>
                <w:lang w:val="fr-FR"/>
              </w:rPr>
            </w:pPr>
          </w:p>
        </w:tc>
        <w:tc>
          <w:tcPr>
            <w:tcW w:w="174" w:type="pct"/>
            <w:gridSpan w:val="2"/>
          </w:tcPr>
          <w:p w:rsidR="005906BE" w:rsidRPr="00781C4D" w:rsidRDefault="005906BE" w:rsidP="00847E7F">
            <w:pPr>
              <w:contextualSpacing/>
              <w:rPr>
                <w:sz w:val="18"/>
                <w:szCs w:val="18"/>
                <w:lang w:val="fr-FR"/>
              </w:rPr>
            </w:pPr>
          </w:p>
        </w:tc>
        <w:tc>
          <w:tcPr>
            <w:tcW w:w="174" w:type="pct"/>
            <w:gridSpan w:val="2"/>
          </w:tcPr>
          <w:p w:rsidR="005906BE" w:rsidRPr="00781C4D" w:rsidRDefault="005906BE" w:rsidP="00847E7F">
            <w:pPr>
              <w:contextualSpacing/>
              <w:rPr>
                <w:sz w:val="18"/>
                <w:szCs w:val="18"/>
                <w:lang w:val="fr-FR"/>
              </w:rPr>
            </w:pPr>
          </w:p>
        </w:tc>
        <w:tc>
          <w:tcPr>
            <w:tcW w:w="174" w:type="pct"/>
            <w:gridSpan w:val="2"/>
          </w:tcPr>
          <w:p w:rsidR="005906BE" w:rsidRPr="00781C4D" w:rsidRDefault="005906BE" w:rsidP="00847E7F">
            <w:pPr>
              <w:contextualSpacing/>
              <w:rPr>
                <w:sz w:val="18"/>
                <w:szCs w:val="18"/>
                <w:lang w:val="fr-FR"/>
              </w:rPr>
            </w:pPr>
          </w:p>
        </w:tc>
        <w:tc>
          <w:tcPr>
            <w:tcW w:w="209" w:type="pct"/>
            <w:gridSpan w:val="2"/>
          </w:tcPr>
          <w:p w:rsidR="005906BE" w:rsidRPr="00781C4D" w:rsidRDefault="005906BE" w:rsidP="00847E7F">
            <w:pPr>
              <w:contextualSpacing/>
              <w:rPr>
                <w:sz w:val="18"/>
                <w:szCs w:val="18"/>
                <w:lang w:val="fr-FR"/>
              </w:rPr>
            </w:pPr>
          </w:p>
        </w:tc>
        <w:tc>
          <w:tcPr>
            <w:tcW w:w="1848" w:type="pct"/>
          </w:tcPr>
          <w:p w:rsidR="005906BE" w:rsidRPr="00781C4D" w:rsidRDefault="005906BE" w:rsidP="00847E7F">
            <w:pPr>
              <w:contextualSpacing/>
              <w:rPr>
                <w:sz w:val="18"/>
                <w:szCs w:val="18"/>
                <w:lang w:val="fr-FR"/>
              </w:rPr>
            </w:pPr>
          </w:p>
        </w:tc>
      </w:tr>
      <w:tr w:rsidR="00781C4D" w:rsidRPr="00924DF4" w:rsidTr="00A640E7">
        <w:tc>
          <w:tcPr>
            <w:tcW w:w="717" w:type="pct"/>
            <w:vMerge w:val="restart"/>
          </w:tcPr>
          <w:p w:rsidR="00781C4D" w:rsidRPr="0098364D" w:rsidRDefault="00781C4D" w:rsidP="0098364D">
            <w:pPr>
              <w:autoSpaceDE w:val="0"/>
              <w:autoSpaceDN w:val="0"/>
              <w:adjustRightInd w:val="0"/>
              <w:rPr>
                <w:sz w:val="18"/>
                <w:szCs w:val="18"/>
                <w:lang w:val="fr-FR"/>
              </w:rPr>
            </w:pPr>
            <w:r w:rsidRPr="0098364D">
              <w:rPr>
                <w:b/>
                <w:sz w:val="18"/>
                <w:szCs w:val="18"/>
                <w:lang w:val="fr-FR"/>
              </w:rPr>
              <w:lastRenderedPageBreak/>
              <w:t xml:space="preserve">Adaptation au </w:t>
            </w:r>
            <w:r>
              <w:rPr>
                <w:b/>
                <w:sz w:val="18"/>
                <w:szCs w:val="18"/>
                <w:lang w:val="fr-FR"/>
              </w:rPr>
              <w:t>changement</w:t>
            </w:r>
            <w:r w:rsidRPr="0098364D">
              <w:rPr>
                <w:b/>
                <w:sz w:val="18"/>
                <w:szCs w:val="18"/>
                <w:lang w:val="fr-FR"/>
              </w:rPr>
              <w:t xml:space="preserve"> c</w:t>
            </w:r>
            <w:r>
              <w:rPr>
                <w:b/>
                <w:sz w:val="18"/>
                <w:szCs w:val="18"/>
                <w:lang w:val="fr-FR"/>
              </w:rPr>
              <w:t>limatique</w:t>
            </w:r>
          </w:p>
        </w:tc>
        <w:tc>
          <w:tcPr>
            <w:tcW w:w="4283" w:type="pct"/>
            <w:gridSpan w:val="11"/>
          </w:tcPr>
          <w:p w:rsidR="00781C4D" w:rsidRPr="0098364D" w:rsidRDefault="00781C4D" w:rsidP="005906BE">
            <w:pPr>
              <w:autoSpaceDE w:val="0"/>
              <w:autoSpaceDN w:val="0"/>
              <w:adjustRightInd w:val="0"/>
              <w:rPr>
                <w:sz w:val="18"/>
                <w:szCs w:val="18"/>
                <w:lang w:val="fr-FR"/>
              </w:rPr>
            </w:pPr>
            <w:r>
              <w:rPr>
                <w:sz w:val="18"/>
                <w:szCs w:val="18"/>
                <w:lang w:val="fr-FR"/>
              </w:rPr>
              <w:t xml:space="preserve">La question de l’adaptation </w:t>
            </w:r>
            <w:r w:rsidRPr="0098364D">
              <w:rPr>
                <w:sz w:val="18"/>
                <w:szCs w:val="18"/>
                <w:lang w:val="fr-FR"/>
              </w:rPr>
              <w:t>au changement climatique est essentiel</w:t>
            </w:r>
            <w:r>
              <w:rPr>
                <w:sz w:val="18"/>
                <w:szCs w:val="18"/>
                <w:lang w:val="fr-FR"/>
              </w:rPr>
              <w:t>le</w:t>
            </w:r>
            <w:r w:rsidRPr="0098364D">
              <w:rPr>
                <w:sz w:val="18"/>
                <w:szCs w:val="18"/>
                <w:lang w:val="fr-FR"/>
              </w:rPr>
              <w:t xml:space="preserve"> pour élaborer des politiques de transport </w:t>
            </w:r>
            <w:r>
              <w:rPr>
                <w:sz w:val="18"/>
                <w:szCs w:val="18"/>
                <w:lang w:val="fr-FR"/>
              </w:rPr>
              <w:t>durable</w:t>
            </w:r>
            <w:r w:rsidRPr="0098364D">
              <w:rPr>
                <w:sz w:val="18"/>
                <w:szCs w:val="18"/>
                <w:lang w:val="fr-FR"/>
              </w:rPr>
              <w:t xml:space="preserve"> raisonnables et complètes. Par conséquent, une partie importante de la journée 2 </w:t>
            </w:r>
            <w:r>
              <w:rPr>
                <w:sz w:val="18"/>
                <w:szCs w:val="18"/>
                <w:lang w:val="fr-FR"/>
              </w:rPr>
              <w:t xml:space="preserve">sera </w:t>
            </w:r>
            <w:r w:rsidRPr="0098364D">
              <w:rPr>
                <w:sz w:val="18"/>
                <w:szCs w:val="18"/>
                <w:lang w:val="fr-FR"/>
              </w:rPr>
              <w:t xml:space="preserve">consacrée à l'introduction avec succès de projets innovants liés à la résilience </w:t>
            </w:r>
            <w:r>
              <w:rPr>
                <w:sz w:val="18"/>
                <w:szCs w:val="18"/>
                <w:lang w:val="fr-FR"/>
              </w:rPr>
              <w:t xml:space="preserve">et à l’adaptation </w:t>
            </w:r>
            <w:r w:rsidRPr="0098364D">
              <w:rPr>
                <w:sz w:val="18"/>
                <w:szCs w:val="18"/>
                <w:lang w:val="fr-FR"/>
              </w:rPr>
              <w:t>au changement climatique dans le secteur des transports. Les exemples suivants sont proposés:</w:t>
            </w:r>
          </w:p>
          <w:p w:rsidR="00781C4D" w:rsidRPr="00924DF4" w:rsidRDefault="00781C4D" w:rsidP="0098364D">
            <w:pPr>
              <w:autoSpaceDE w:val="0"/>
              <w:autoSpaceDN w:val="0"/>
              <w:adjustRightInd w:val="0"/>
              <w:rPr>
                <w:sz w:val="18"/>
                <w:szCs w:val="18"/>
                <w:lang w:val="fr-FR"/>
              </w:rPr>
            </w:pPr>
          </w:p>
        </w:tc>
      </w:tr>
      <w:tr w:rsidR="00781C4D" w:rsidRPr="007C077B" w:rsidTr="00ED2ECD">
        <w:tc>
          <w:tcPr>
            <w:tcW w:w="717" w:type="pct"/>
            <w:vMerge/>
          </w:tcPr>
          <w:p w:rsidR="00781C4D" w:rsidRPr="00924DF4" w:rsidRDefault="00781C4D" w:rsidP="00847E7F">
            <w:pPr>
              <w:contextualSpacing/>
              <w:rPr>
                <w:sz w:val="18"/>
                <w:szCs w:val="18"/>
                <w:lang w:val="fr-FR"/>
              </w:rPr>
            </w:pPr>
          </w:p>
        </w:tc>
        <w:tc>
          <w:tcPr>
            <w:tcW w:w="1555" w:type="pct"/>
          </w:tcPr>
          <w:p w:rsidR="00781C4D" w:rsidRDefault="00781C4D" w:rsidP="00924DF4">
            <w:pPr>
              <w:autoSpaceDE w:val="0"/>
              <w:autoSpaceDN w:val="0"/>
              <w:adjustRightInd w:val="0"/>
              <w:rPr>
                <w:sz w:val="18"/>
                <w:szCs w:val="18"/>
                <w:lang w:val="fr-FR"/>
              </w:rPr>
            </w:pPr>
            <w:r w:rsidRPr="0098364D">
              <w:rPr>
                <w:b/>
                <w:sz w:val="18"/>
                <w:szCs w:val="18"/>
                <w:lang w:val="fr-FR"/>
              </w:rPr>
              <w:t xml:space="preserve">Étude de la Banque </w:t>
            </w:r>
            <w:r>
              <w:rPr>
                <w:b/>
                <w:sz w:val="18"/>
                <w:szCs w:val="18"/>
                <w:lang w:val="fr-FR"/>
              </w:rPr>
              <w:t xml:space="preserve">mondiale et du Fond nordique de développement </w:t>
            </w:r>
            <w:r w:rsidRPr="0098364D">
              <w:rPr>
                <w:b/>
                <w:sz w:val="18"/>
                <w:szCs w:val="18"/>
                <w:lang w:val="fr-FR"/>
              </w:rPr>
              <w:t>sur la vuln</w:t>
            </w:r>
            <w:r>
              <w:rPr>
                <w:b/>
                <w:sz w:val="18"/>
                <w:szCs w:val="18"/>
                <w:lang w:val="fr-FR"/>
              </w:rPr>
              <w:t>érabilité des infrastructures africaines</w:t>
            </w:r>
            <w:r w:rsidRPr="0098364D">
              <w:rPr>
                <w:b/>
                <w:sz w:val="18"/>
                <w:szCs w:val="18"/>
                <w:lang w:val="fr-FR"/>
              </w:rPr>
              <w:t xml:space="preserve">: </w:t>
            </w:r>
            <w:r w:rsidRPr="0098364D">
              <w:rPr>
                <w:sz w:val="18"/>
                <w:szCs w:val="18"/>
                <w:lang w:val="fr-FR"/>
              </w:rPr>
              <w:t xml:space="preserve">La Banque mondiale et le Fonds nordique de développement </w:t>
            </w:r>
            <w:r>
              <w:rPr>
                <w:sz w:val="18"/>
                <w:szCs w:val="18"/>
                <w:lang w:val="fr-FR"/>
              </w:rPr>
              <w:t>ont cofinancé l’</w:t>
            </w:r>
            <w:r w:rsidRPr="0098364D">
              <w:rPr>
                <w:sz w:val="18"/>
                <w:szCs w:val="18"/>
                <w:lang w:val="fr-FR"/>
              </w:rPr>
              <w:t xml:space="preserve">étude </w:t>
            </w:r>
            <w:r w:rsidRPr="0098364D">
              <w:rPr>
                <w:i/>
                <w:sz w:val="18"/>
                <w:szCs w:val="18"/>
                <w:lang w:val="fr-FR"/>
              </w:rPr>
              <w:t>Répondre à la vulnérabilité des infrastructures africaines</w:t>
            </w:r>
            <w:r w:rsidRPr="0098364D">
              <w:rPr>
                <w:sz w:val="18"/>
                <w:szCs w:val="18"/>
                <w:lang w:val="fr-FR"/>
              </w:rPr>
              <w:t>, qui s'appuiera</w:t>
            </w:r>
            <w:r>
              <w:rPr>
                <w:sz w:val="18"/>
                <w:szCs w:val="18"/>
                <w:lang w:val="fr-FR"/>
              </w:rPr>
              <w:t xml:space="preserve"> sur</w:t>
            </w:r>
            <w:r w:rsidRPr="0098364D">
              <w:rPr>
                <w:sz w:val="18"/>
                <w:szCs w:val="18"/>
                <w:lang w:val="fr-FR"/>
              </w:rPr>
              <w:t xml:space="preserve"> </w:t>
            </w:r>
            <w:r>
              <w:rPr>
                <w:sz w:val="18"/>
                <w:szCs w:val="18"/>
                <w:lang w:val="fr-FR"/>
              </w:rPr>
              <w:t>le Diagnostic</w:t>
            </w:r>
            <w:r w:rsidRPr="00B92E7C">
              <w:rPr>
                <w:sz w:val="18"/>
                <w:szCs w:val="18"/>
                <w:lang w:val="fr-FR"/>
              </w:rPr>
              <w:t xml:space="preserve"> des infrast</w:t>
            </w:r>
            <w:r>
              <w:rPr>
                <w:sz w:val="18"/>
                <w:szCs w:val="18"/>
                <w:lang w:val="fr-FR"/>
              </w:rPr>
              <w:t>ructures nationales en Afrique</w:t>
            </w:r>
            <w:r w:rsidRPr="0098364D">
              <w:rPr>
                <w:sz w:val="18"/>
                <w:szCs w:val="18"/>
                <w:lang w:val="fr-FR"/>
              </w:rPr>
              <w:t xml:space="preserve"> (AICD) </w:t>
            </w:r>
            <w:r>
              <w:rPr>
                <w:sz w:val="18"/>
                <w:szCs w:val="18"/>
                <w:lang w:val="fr-FR"/>
              </w:rPr>
              <w:t xml:space="preserve">tout en élargissant sa portée, et </w:t>
            </w:r>
            <w:r w:rsidRPr="0098364D">
              <w:rPr>
                <w:sz w:val="18"/>
                <w:szCs w:val="18"/>
                <w:lang w:val="fr-FR"/>
              </w:rPr>
              <w:t>en se concentrant plus particulièrement sur la résilience au changement climatique. En particulier, l'étude vise à fournir des outils pour quantifier de manière systématique les répercussi</w:t>
            </w:r>
            <w:r>
              <w:rPr>
                <w:sz w:val="18"/>
                <w:szCs w:val="18"/>
                <w:lang w:val="fr-FR"/>
              </w:rPr>
              <w:t xml:space="preserve">ons des coûts potentiels du changement </w:t>
            </w:r>
            <w:r w:rsidRPr="0098364D">
              <w:rPr>
                <w:sz w:val="18"/>
                <w:szCs w:val="18"/>
                <w:lang w:val="fr-FR"/>
              </w:rPr>
              <w:t xml:space="preserve">climatique sur les infrastructures, et </w:t>
            </w:r>
            <w:r>
              <w:rPr>
                <w:sz w:val="18"/>
                <w:szCs w:val="18"/>
                <w:lang w:val="fr-FR"/>
              </w:rPr>
              <w:t>mettre</w:t>
            </w:r>
            <w:r w:rsidRPr="0098364D">
              <w:rPr>
                <w:sz w:val="18"/>
                <w:szCs w:val="18"/>
                <w:lang w:val="fr-FR"/>
              </w:rPr>
              <w:t xml:space="preserve"> en évidence les implications stratégiques du changement climatique po</w:t>
            </w:r>
            <w:r>
              <w:rPr>
                <w:sz w:val="18"/>
                <w:szCs w:val="18"/>
                <w:lang w:val="fr-FR"/>
              </w:rPr>
              <w:t xml:space="preserve">ur la prise de décision dans le secteur </w:t>
            </w:r>
            <w:r w:rsidRPr="0098364D">
              <w:rPr>
                <w:sz w:val="18"/>
                <w:szCs w:val="18"/>
                <w:lang w:val="fr-FR"/>
              </w:rPr>
              <w:t>de</w:t>
            </w:r>
            <w:r>
              <w:rPr>
                <w:sz w:val="18"/>
                <w:szCs w:val="18"/>
                <w:lang w:val="fr-FR"/>
              </w:rPr>
              <w:t xml:space="preserve">s </w:t>
            </w:r>
            <w:r w:rsidRPr="0098364D">
              <w:rPr>
                <w:sz w:val="18"/>
                <w:szCs w:val="18"/>
                <w:lang w:val="fr-FR"/>
              </w:rPr>
              <w:t>infrastructure</w:t>
            </w:r>
            <w:r>
              <w:rPr>
                <w:sz w:val="18"/>
                <w:szCs w:val="18"/>
                <w:lang w:val="fr-FR"/>
              </w:rPr>
              <w:t>s</w:t>
            </w:r>
            <w:r w:rsidRPr="0098364D">
              <w:rPr>
                <w:sz w:val="18"/>
                <w:szCs w:val="18"/>
                <w:lang w:val="fr-FR"/>
              </w:rPr>
              <w:t>.</w:t>
            </w:r>
            <w:r>
              <w:rPr>
                <w:sz w:val="18"/>
                <w:szCs w:val="18"/>
                <w:lang w:val="fr-FR"/>
              </w:rPr>
              <w:t xml:space="preserve"> </w:t>
            </w:r>
          </w:p>
          <w:p w:rsidR="00781C4D" w:rsidRPr="00B92E7C" w:rsidRDefault="00781C4D" w:rsidP="00924DF4">
            <w:pPr>
              <w:autoSpaceDE w:val="0"/>
              <w:autoSpaceDN w:val="0"/>
              <w:adjustRightInd w:val="0"/>
              <w:rPr>
                <w:sz w:val="18"/>
                <w:szCs w:val="18"/>
                <w:lang w:val="fr-FR"/>
              </w:rPr>
            </w:pPr>
          </w:p>
        </w:tc>
        <w:tc>
          <w:tcPr>
            <w:tcW w:w="169" w:type="pct"/>
            <w:gridSpan w:val="2"/>
          </w:tcPr>
          <w:p w:rsidR="00781C4D" w:rsidRPr="00B92E7C" w:rsidRDefault="00781C4D" w:rsidP="00847E7F">
            <w:pPr>
              <w:contextualSpacing/>
              <w:rPr>
                <w:sz w:val="18"/>
                <w:szCs w:val="18"/>
                <w:lang w:val="fr-FR"/>
              </w:rPr>
            </w:pPr>
          </w:p>
        </w:tc>
        <w:tc>
          <w:tcPr>
            <w:tcW w:w="170" w:type="pct"/>
            <w:gridSpan w:val="2"/>
          </w:tcPr>
          <w:p w:rsidR="00781C4D" w:rsidRPr="00B92E7C" w:rsidRDefault="00781C4D" w:rsidP="00847E7F">
            <w:pPr>
              <w:contextualSpacing/>
              <w:rPr>
                <w:sz w:val="18"/>
                <w:szCs w:val="18"/>
                <w:lang w:val="fr-FR"/>
              </w:rPr>
            </w:pPr>
          </w:p>
        </w:tc>
        <w:tc>
          <w:tcPr>
            <w:tcW w:w="169" w:type="pct"/>
            <w:gridSpan w:val="2"/>
          </w:tcPr>
          <w:p w:rsidR="00781C4D" w:rsidRPr="00B92E7C" w:rsidRDefault="00781C4D" w:rsidP="00847E7F">
            <w:pPr>
              <w:contextualSpacing/>
              <w:rPr>
                <w:sz w:val="18"/>
                <w:szCs w:val="18"/>
                <w:lang w:val="fr-FR"/>
              </w:rPr>
            </w:pPr>
          </w:p>
        </w:tc>
        <w:tc>
          <w:tcPr>
            <w:tcW w:w="169" w:type="pct"/>
            <w:gridSpan w:val="2"/>
          </w:tcPr>
          <w:p w:rsidR="00781C4D" w:rsidRPr="00B92E7C" w:rsidRDefault="00781C4D" w:rsidP="00847E7F">
            <w:pPr>
              <w:contextualSpacing/>
              <w:rPr>
                <w:sz w:val="18"/>
                <w:szCs w:val="18"/>
                <w:lang w:val="fr-FR"/>
              </w:rPr>
            </w:pPr>
          </w:p>
        </w:tc>
        <w:tc>
          <w:tcPr>
            <w:tcW w:w="203" w:type="pct"/>
          </w:tcPr>
          <w:p w:rsidR="00781C4D" w:rsidRPr="00B92E7C" w:rsidRDefault="00781C4D" w:rsidP="00847E7F">
            <w:pPr>
              <w:contextualSpacing/>
              <w:rPr>
                <w:sz w:val="18"/>
                <w:szCs w:val="18"/>
                <w:lang w:val="fr-FR"/>
              </w:rPr>
            </w:pPr>
          </w:p>
        </w:tc>
        <w:tc>
          <w:tcPr>
            <w:tcW w:w="1848" w:type="pct"/>
          </w:tcPr>
          <w:p w:rsidR="00781C4D" w:rsidRPr="00B92E7C" w:rsidRDefault="00781C4D" w:rsidP="00847E7F">
            <w:pPr>
              <w:contextualSpacing/>
              <w:rPr>
                <w:sz w:val="18"/>
                <w:szCs w:val="18"/>
                <w:lang w:val="fr-FR"/>
              </w:rPr>
            </w:pPr>
          </w:p>
        </w:tc>
      </w:tr>
      <w:tr w:rsidR="00781C4D" w:rsidRPr="007C077B" w:rsidTr="00ED2ECD">
        <w:trPr>
          <w:cantSplit/>
        </w:trPr>
        <w:tc>
          <w:tcPr>
            <w:tcW w:w="717" w:type="pct"/>
            <w:vMerge/>
          </w:tcPr>
          <w:p w:rsidR="00781C4D" w:rsidRPr="00B92E7C" w:rsidRDefault="00781C4D" w:rsidP="00847E7F">
            <w:pPr>
              <w:contextualSpacing/>
              <w:rPr>
                <w:sz w:val="18"/>
                <w:szCs w:val="18"/>
                <w:lang w:val="fr-FR"/>
              </w:rPr>
            </w:pPr>
          </w:p>
        </w:tc>
        <w:tc>
          <w:tcPr>
            <w:tcW w:w="1555" w:type="pct"/>
          </w:tcPr>
          <w:p w:rsidR="00781C4D" w:rsidRDefault="00781C4D" w:rsidP="00924DF4">
            <w:pPr>
              <w:autoSpaceDE w:val="0"/>
              <w:autoSpaceDN w:val="0"/>
              <w:adjustRightInd w:val="0"/>
              <w:rPr>
                <w:sz w:val="18"/>
                <w:szCs w:val="18"/>
                <w:lang w:val="fr-FR"/>
              </w:rPr>
            </w:pPr>
            <w:r w:rsidRPr="00B92E7C">
              <w:rPr>
                <w:b/>
                <w:sz w:val="18"/>
                <w:szCs w:val="18"/>
                <w:lang w:val="fr-FR"/>
              </w:rPr>
              <w:t xml:space="preserve">Banque mondiale / Fonds </w:t>
            </w:r>
            <w:r>
              <w:rPr>
                <w:b/>
                <w:sz w:val="18"/>
                <w:szCs w:val="18"/>
                <w:lang w:val="fr-FR"/>
              </w:rPr>
              <w:t xml:space="preserve">nordique de développement sur le </w:t>
            </w:r>
            <w:r w:rsidRPr="00B92E7C">
              <w:rPr>
                <w:b/>
                <w:sz w:val="18"/>
                <w:szCs w:val="18"/>
                <w:lang w:val="fr-FR"/>
              </w:rPr>
              <w:t xml:space="preserve">Projet d'appui au transport et à la mobilité urbaine </w:t>
            </w:r>
            <w:r>
              <w:rPr>
                <w:b/>
                <w:sz w:val="18"/>
                <w:szCs w:val="18"/>
                <w:lang w:val="fr-FR"/>
              </w:rPr>
              <w:t>au Sénégal–</w:t>
            </w:r>
            <w:r w:rsidRPr="00B92E7C">
              <w:rPr>
                <w:b/>
                <w:sz w:val="18"/>
                <w:szCs w:val="18"/>
                <w:lang w:val="fr-FR"/>
              </w:rPr>
              <w:t xml:space="preserve"> </w:t>
            </w:r>
            <w:r>
              <w:rPr>
                <w:b/>
                <w:sz w:val="18"/>
                <w:szCs w:val="18"/>
                <w:lang w:val="fr-FR"/>
              </w:rPr>
              <w:t>Intégrer l’a</w:t>
            </w:r>
            <w:r w:rsidRPr="00B92E7C">
              <w:rPr>
                <w:b/>
                <w:sz w:val="18"/>
                <w:szCs w:val="18"/>
                <w:lang w:val="fr-FR"/>
              </w:rPr>
              <w:t>dapt</w:t>
            </w:r>
            <w:r>
              <w:rPr>
                <w:b/>
                <w:sz w:val="18"/>
                <w:szCs w:val="18"/>
                <w:lang w:val="fr-FR"/>
              </w:rPr>
              <w:t>ation au changement climatique au secteur des t</w:t>
            </w:r>
            <w:r w:rsidRPr="00B92E7C">
              <w:rPr>
                <w:b/>
                <w:sz w:val="18"/>
                <w:szCs w:val="18"/>
                <w:lang w:val="fr-FR"/>
              </w:rPr>
              <w:t xml:space="preserve">ransports: </w:t>
            </w:r>
            <w:r w:rsidRPr="00B92E7C">
              <w:rPr>
                <w:sz w:val="18"/>
                <w:szCs w:val="18"/>
                <w:lang w:val="fr-FR"/>
              </w:rPr>
              <w:t xml:space="preserve">Le Fonds nordique de développement travaille en partenariat avec la Banque mondiale </w:t>
            </w:r>
            <w:r>
              <w:rPr>
                <w:sz w:val="18"/>
                <w:szCs w:val="18"/>
                <w:lang w:val="fr-FR"/>
              </w:rPr>
              <w:t xml:space="preserve">sur </w:t>
            </w:r>
            <w:r w:rsidRPr="00B92E7C">
              <w:rPr>
                <w:sz w:val="18"/>
                <w:szCs w:val="18"/>
                <w:lang w:val="fr-FR"/>
              </w:rPr>
              <w:t>le Projet d'appui au transport et à la mobilité urbaine au Sé</w:t>
            </w:r>
            <w:r>
              <w:rPr>
                <w:sz w:val="18"/>
                <w:szCs w:val="18"/>
                <w:lang w:val="fr-FR"/>
              </w:rPr>
              <w:t>négal</w:t>
            </w:r>
            <w:r w:rsidRPr="00B92E7C">
              <w:rPr>
                <w:sz w:val="18"/>
                <w:szCs w:val="18"/>
                <w:lang w:val="fr-FR"/>
              </w:rPr>
              <w:t xml:space="preserve">. L'objectif principal de l'intervention du Fonds nordique est d'intégrer </w:t>
            </w:r>
            <w:r>
              <w:rPr>
                <w:sz w:val="18"/>
                <w:szCs w:val="18"/>
                <w:lang w:val="fr-FR"/>
              </w:rPr>
              <w:t xml:space="preserve">une </w:t>
            </w:r>
            <w:r w:rsidRPr="00B92E7C">
              <w:rPr>
                <w:sz w:val="18"/>
                <w:szCs w:val="18"/>
                <w:lang w:val="fr-FR"/>
              </w:rPr>
              <w:t xml:space="preserve">dimension </w:t>
            </w:r>
            <w:r>
              <w:rPr>
                <w:sz w:val="18"/>
                <w:szCs w:val="18"/>
                <w:lang w:val="fr-FR"/>
              </w:rPr>
              <w:t>d’</w:t>
            </w:r>
            <w:r w:rsidRPr="00B92E7C">
              <w:rPr>
                <w:sz w:val="18"/>
                <w:szCs w:val="18"/>
                <w:lang w:val="fr-FR"/>
              </w:rPr>
              <w:t xml:space="preserve">adaptation </w:t>
            </w:r>
            <w:r>
              <w:rPr>
                <w:sz w:val="18"/>
                <w:szCs w:val="18"/>
                <w:lang w:val="fr-FR"/>
              </w:rPr>
              <w:t xml:space="preserve">au </w:t>
            </w:r>
            <w:r w:rsidRPr="00B92E7C">
              <w:rPr>
                <w:sz w:val="18"/>
                <w:szCs w:val="18"/>
                <w:lang w:val="fr-FR"/>
              </w:rPr>
              <w:t xml:space="preserve">changement climatique dans le projet financé par la Banque mondiale, et </w:t>
            </w:r>
            <w:r>
              <w:rPr>
                <w:sz w:val="18"/>
                <w:szCs w:val="18"/>
                <w:lang w:val="fr-FR"/>
              </w:rPr>
              <w:t>de</w:t>
            </w:r>
            <w:r w:rsidRPr="00B92E7C">
              <w:rPr>
                <w:sz w:val="18"/>
                <w:szCs w:val="18"/>
                <w:lang w:val="fr-FR"/>
              </w:rPr>
              <w:t xml:space="preserve"> développer les capacités des parties prenantes au Sénégal </w:t>
            </w:r>
            <w:r>
              <w:rPr>
                <w:sz w:val="18"/>
                <w:szCs w:val="18"/>
                <w:lang w:val="fr-FR"/>
              </w:rPr>
              <w:t xml:space="preserve">à intégrer </w:t>
            </w:r>
            <w:proofErr w:type="gramStart"/>
            <w:r>
              <w:rPr>
                <w:sz w:val="18"/>
                <w:szCs w:val="18"/>
                <w:lang w:val="fr-FR"/>
              </w:rPr>
              <w:t>la composante</w:t>
            </w:r>
            <w:proofErr w:type="gramEnd"/>
            <w:r>
              <w:rPr>
                <w:sz w:val="18"/>
                <w:szCs w:val="18"/>
                <w:lang w:val="fr-FR"/>
              </w:rPr>
              <w:t xml:space="preserve"> climat dans</w:t>
            </w:r>
            <w:r w:rsidRPr="00B92E7C">
              <w:rPr>
                <w:sz w:val="18"/>
                <w:szCs w:val="18"/>
                <w:lang w:val="fr-FR"/>
              </w:rPr>
              <w:t xml:space="preserve"> </w:t>
            </w:r>
            <w:r>
              <w:rPr>
                <w:sz w:val="18"/>
                <w:szCs w:val="18"/>
                <w:lang w:val="fr-FR"/>
              </w:rPr>
              <w:t>la</w:t>
            </w:r>
            <w:r w:rsidRPr="00B92E7C">
              <w:rPr>
                <w:sz w:val="18"/>
                <w:szCs w:val="18"/>
                <w:lang w:val="fr-FR"/>
              </w:rPr>
              <w:t xml:space="preserve"> planification des infrastructures routières</w:t>
            </w:r>
            <w:r>
              <w:rPr>
                <w:sz w:val="18"/>
                <w:szCs w:val="18"/>
                <w:lang w:val="fr-FR"/>
              </w:rPr>
              <w:t>, leur conception et leur</w:t>
            </w:r>
            <w:r w:rsidRPr="00B92E7C">
              <w:rPr>
                <w:sz w:val="18"/>
                <w:szCs w:val="18"/>
                <w:lang w:val="fr-FR"/>
              </w:rPr>
              <w:t xml:space="preserve"> maintenance.</w:t>
            </w:r>
          </w:p>
          <w:p w:rsidR="00781C4D" w:rsidRPr="00DA022D" w:rsidRDefault="00781C4D" w:rsidP="00924DF4">
            <w:pPr>
              <w:autoSpaceDE w:val="0"/>
              <w:autoSpaceDN w:val="0"/>
              <w:adjustRightInd w:val="0"/>
              <w:rPr>
                <w:sz w:val="18"/>
                <w:szCs w:val="18"/>
                <w:lang w:val="fr-FR"/>
              </w:rPr>
            </w:pPr>
          </w:p>
        </w:tc>
        <w:tc>
          <w:tcPr>
            <w:tcW w:w="169" w:type="pct"/>
            <w:gridSpan w:val="2"/>
          </w:tcPr>
          <w:p w:rsidR="00781C4D" w:rsidRPr="00DA022D" w:rsidRDefault="00781C4D" w:rsidP="00847E7F">
            <w:pPr>
              <w:contextualSpacing/>
              <w:rPr>
                <w:sz w:val="18"/>
                <w:szCs w:val="18"/>
                <w:lang w:val="fr-FR"/>
              </w:rPr>
            </w:pPr>
          </w:p>
        </w:tc>
        <w:tc>
          <w:tcPr>
            <w:tcW w:w="170" w:type="pct"/>
            <w:gridSpan w:val="2"/>
          </w:tcPr>
          <w:p w:rsidR="00781C4D" w:rsidRPr="00DA022D" w:rsidRDefault="00781C4D" w:rsidP="00847E7F">
            <w:pPr>
              <w:contextualSpacing/>
              <w:rPr>
                <w:sz w:val="18"/>
                <w:szCs w:val="18"/>
                <w:lang w:val="fr-FR"/>
              </w:rPr>
            </w:pPr>
          </w:p>
        </w:tc>
        <w:tc>
          <w:tcPr>
            <w:tcW w:w="169" w:type="pct"/>
            <w:gridSpan w:val="2"/>
          </w:tcPr>
          <w:p w:rsidR="00781C4D" w:rsidRPr="00DA022D" w:rsidRDefault="00781C4D" w:rsidP="00847E7F">
            <w:pPr>
              <w:contextualSpacing/>
              <w:rPr>
                <w:sz w:val="18"/>
                <w:szCs w:val="18"/>
                <w:lang w:val="fr-FR"/>
              </w:rPr>
            </w:pPr>
          </w:p>
        </w:tc>
        <w:tc>
          <w:tcPr>
            <w:tcW w:w="169" w:type="pct"/>
            <w:gridSpan w:val="2"/>
          </w:tcPr>
          <w:p w:rsidR="00781C4D" w:rsidRPr="00DA022D" w:rsidRDefault="00781C4D" w:rsidP="00847E7F">
            <w:pPr>
              <w:contextualSpacing/>
              <w:rPr>
                <w:sz w:val="18"/>
                <w:szCs w:val="18"/>
                <w:lang w:val="fr-FR"/>
              </w:rPr>
            </w:pPr>
          </w:p>
        </w:tc>
        <w:tc>
          <w:tcPr>
            <w:tcW w:w="203" w:type="pct"/>
          </w:tcPr>
          <w:p w:rsidR="00781C4D" w:rsidRPr="00DA022D" w:rsidRDefault="00781C4D" w:rsidP="00847E7F">
            <w:pPr>
              <w:contextualSpacing/>
              <w:rPr>
                <w:sz w:val="18"/>
                <w:szCs w:val="18"/>
                <w:lang w:val="fr-FR"/>
              </w:rPr>
            </w:pPr>
          </w:p>
        </w:tc>
        <w:tc>
          <w:tcPr>
            <w:tcW w:w="1848" w:type="pct"/>
          </w:tcPr>
          <w:p w:rsidR="00781C4D" w:rsidRPr="00DA022D" w:rsidRDefault="00781C4D" w:rsidP="00847E7F">
            <w:pPr>
              <w:contextualSpacing/>
              <w:rPr>
                <w:sz w:val="18"/>
                <w:szCs w:val="18"/>
                <w:lang w:val="fr-FR"/>
              </w:rPr>
            </w:pPr>
          </w:p>
        </w:tc>
      </w:tr>
    </w:tbl>
    <w:p w:rsidR="00781C4D" w:rsidRDefault="00781C4D" w:rsidP="00847E7F">
      <w:pPr>
        <w:contextualSpacing/>
        <w:rPr>
          <w:sz w:val="18"/>
          <w:szCs w:val="18"/>
          <w:lang w:val="fr-FR"/>
        </w:rPr>
        <w:sectPr w:rsidR="00781C4D" w:rsidSect="00087517">
          <w:pgSz w:w="15840" w:h="12240" w:orient="landscape"/>
          <w:pgMar w:top="1440" w:right="1440" w:bottom="1440" w:left="1440" w:header="720" w:footer="720" w:gutter="0"/>
          <w:cols w:space="720"/>
          <w:docGrid w:linePitch="360"/>
        </w:sectPr>
      </w:pPr>
    </w:p>
    <w:tbl>
      <w:tblPr>
        <w:tblStyle w:val="TableGrid"/>
        <w:tblW w:w="5049" w:type="pct"/>
        <w:tblLayout w:type="fixed"/>
        <w:tblLook w:val="04A0" w:firstRow="1" w:lastRow="0" w:firstColumn="1" w:lastColumn="0" w:noHBand="0" w:noVBand="1"/>
      </w:tblPr>
      <w:tblGrid>
        <w:gridCol w:w="1907"/>
        <w:gridCol w:w="4138"/>
        <w:gridCol w:w="450"/>
        <w:gridCol w:w="452"/>
        <w:gridCol w:w="450"/>
        <w:gridCol w:w="450"/>
        <w:gridCol w:w="540"/>
        <w:gridCol w:w="4918"/>
      </w:tblGrid>
      <w:tr w:rsidR="00320541" w:rsidRPr="007C077B" w:rsidTr="00ED2ECD">
        <w:tc>
          <w:tcPr>
            <w:tcW w:w="717" w:type="pct"/>
          </w:tcPr>
          <w:p w:rsidR="005906BE" w:rsidRPr="00DA022D" w:rsidRDefault="005906BE" w:rsidP="00847E7F">
            <w:pPr>
              <w:contextualSpacing/>
              <w:rPr>
                <w:sz w:val="18"/>
                <w:szCs w:val="18"/>
                <w:lang w:val="fr-FR"/>
              </w:rPr>
            </w:pPr>
          </w:p>
        </w:tc>
        <w:tc>
          <w:tcPr>
            <w:tcW w:w="1555" w:type="pct"/>
          </w:tcPr>
          <w:p w:rsidR="005906BE" w:rsidRDefault="007A210F" w:rsidP="00924DF4">
            <w:pPr>
              <w:autoSpaceDE w:val="0"/>
              <w:autoSpaceDN w:val="0"/>
              <w:adjustRightInd w:val="0"/>
              <w:rPr>
                <w:sz w:val="18"/>
                <w:szCs w:val="18"/>
                <w:lang w:val="fr-FR"/>
              </w:rPr>
            </w:pPr>
            <w:r w:rsidRPr="007A210F">
              <w:rPr>
                <w:sz w:val="18"/>
                <w:szCs w:val="18"/>
                <w:lang w:val="fr-FR"/>
              </w:rPr>
              <w:t xml:space="preserve">Présentation du </w:t>
            </w:r>
            <w:r w:rsidRPr="007A210F">
              <w:rPr>
                <w:b/>
                <w:sz w:val="18"/>
                <w:szCs w:val="18"/>
                <w:lang w:val="fr-FR"/>
              </w:rPr>
              <w:t>nouveau rapport phare de la Banque mondiale:</w:t>
            </w:r>
            <w:r w:rsidRPr="007A210F">
              <w:rPr>
                <w:sz w:val="18"/>
                <w:szCs w:val="18"/>
                <w:lang w:val="fr-FR"/>
              </w:rPr>
              <w:t xml:space="preserve"> </w:t>
            </w:r>
            <w:r w:rsidRPr="007A210F">
              <w:rPr>
                <w:b/>
                <w:i/>
                <w:sz w:val="18"/>
                <w:szCs w:val="18"/>
                <w:lang w:val="fr-FR"/>
              </w:rPr>
              <w:t xml:space="preserve">Prendre le bon virage : assurer le développement grâce </w:t>
            </w:r>
            <w:r w:rsidR="008B7B9C">
              <w:rPr>
                <w:b/>
                <w:i/>
                <w:sz w:val="18"/>
                <w:szCs w:val="18"/>
                <w:lang w:val="fr-FR"/>
              </w:rPr>
              <w:t>à</w:t>
            </w:r>
            <w:r w:rsidRPr="007A210F">
              <w:rPr>
                <w:b/>
                <w:i/>
                <w:sz w:val="18"/>
                <w:szCs w:val="18"/>
                <w:lang w:val="fr-FR"/>
              </w:rPr>
              <w:t xml:space="preserve"> un secteur des transports </w:t>
            </w:r>
            <w:r w:rsidR="00924DF4">
              <w:rPr>
                <w:b/>
                <w:i/>
                <w:sz w:val="18"/>
                <w:szCs w:val="18"/>
                <w:lang w:val="fr-FR"/>
              </w:rPr>
              <w:t xml:space="preserve">économe </w:t>
            </w:r>
            <w:r w:rsidRPr="007A210F">
              <w:rPr>
                <w:b/>
                <w:i/>
                <w:sz w:val="18"/>
                <w:szCs w:val="18"/>
                <w:lang w:val="fr-FR"/>
              </w:rPr>
              <w:t xml:space="preserve">en carbone </w:t>
            </w:r>
            <w:r w:rsidRPr="007A210F">
              <w:rPr>
                <w:b/>
                <w:sz w:val="18"/>
                <w:szCs w:val="18"/>
                <w:lang w:val="fr-FR"/>
              </w:rPr>
              <w:t xml:space="preserve">et </w:t>
            </w:r>
            <w:r w:rsidR="00924DF4">
              <w:rPr>
                <w:b/>
                <w:sz w:val="18"/>
                <w:szCs w:val="18"/>
                <w:lang w:val="fr-FR"/>
              </w:rPr>
              <w:t>l</w:t>
            </w:r>
            <w:r w:rsidRPr="007A210F">
              <w:rPr>
                <w:b/>
                <w:sz w:val="18"/>
                <w:szCs w:val="18"/>
                <w:lang w:val="fr-FR"/>
              </w:rPr>
              <w:t>es applications potentielles dans le contexte africain</w:t>
            </w:r>
            <w:r w:rsidRPr="007A210F">
              <w:rPr>
                <w:sz w:val="18"/>
                <w:szCs w:val="18"/>
                <w:lang w:val="fr-FR"/>
              </w:rPr>
              <w:t xml:space="preserve">: Ce rapport phare souligne </w:t>
            </w:r>
            <w:r>
              <w:rPr>
                <w:sz w:val="18"/>
                <w:szCs w:val="18"/>
                <w:lang w:val="fr-FR"/>
              </w:rPr>
              <w:t xml:space="preserve">le fait </w:t>
            </w:r>
            <w:r w:rsidRPr="007A210F">
              <w:rPr>
                <w:sz w:val="18"/>
                <w:szCs w:val="18"/>
                <w:lang w:val="fr-FR"/>
              </w:rPr>
              <w:t xml:space="preserve">que les pays en développement doivent </w:t>
            </w:r>
            <w:r>
              <w:rPr>
                <w:sz w:val="18"/>
                <w:szCs w:val="18"/>
                <w:lang w:val="fr-FR"/>
              </w:rPr>
              <w:t xml:space="preserve">effectuer </w:t>
            </w:r>
            <w:r w:rsidR="008B7B9C">
              <w:rPr>
                <w:sz w:val="18"/>
                <w:szCs w:val="18"/>
                <w:lang w:val="fr-FR"/>
              </w:rPr>
              <w:t xml:space="preserve">dès </w:t>
            </w:r>
            <w:r w:rsidR="008B7B9C" w:rsidRPr="007A210F">
              <w:rPr>
                <w:sz w:val="18"/>
                <w:szCs w:val="18"/>
                <w:lang w:val="fr-FR"/>
              </w:rPr>
              <w:t xml:space="preserve">maintenant </w:t>
            </w:r>
            <w:r>
              <w:rPr>
                <w:sz w:val="18"/>
                <w:szCs w:val="18"/>
                <w:lang w:val="fr-FR"/>
              </w:rPr>
              <w:t xml:space="preserve">une </w:t>
            </w:r>
            <w:r w:rsidRPr="007A210F">
              <w:rPr>
                <w:sz w:val="18"/>
                <w:szCs w:val="18"/>
                <w:lang w:val="fr-FR"/>
              </w:rPr>
              <w:t xml:space="preserve">transition vers un secteur des transports à faible émission de carbone </w:t>
            </w:r>
            <w:r w:rsidR="008B7B9C">
              <w:rPr>
                <w:sz w:val="18"/>
                <w:szCs w:val="18"/>
                <w:lang w:val="fr-FR"/>
              </w:rPr>
              <w:t>afin d’</w:t>
            </w:r>
            <w:r w:rsidRPr="007A210F">
              <w:rPr>
                <w:sz w:val="18"/>
                <w:szCs w:val="18"/>
                <w:lang w:val="fr-FR"/>
              </w:rPr>
              <w:t xml:space="preserve">éviter de s'enfermer dans un avenir </w:t>
            </w:r>
            <w:r w:rsidR="008B7B9C">
              <w:rPr>
                <w:sz w:val="18"/>
                <w:szCs w:val="18"/>
                <w:lang w:val="fr-FR"/>
              </w:rPr>
              <w:t>intenable</w:t>
            </w:r>
            <w:r w:rsidRPr="007A210F">
              <w:rPr>
                <w:sz w:val="18"/>
                <w:szCs w:val="18"/>
                <w:lang w:val="fr-FR"/>
              </w:rPr>
              <w:t xml:space="preserve"> et coûteux. Il décrit la façon dont les décideurs et les </w:t>
            </w:r>
            <w:r w:rsidR="008B7B9C">
              <w:rPr>
                <w:sz w:val="18"/>
                <w:szCs w:val="18"/>
                <w:lang w:val="fr-FR"/>
              </w:rPr>
              <w:t>acteurs</w:t>
            </w:r>
            <w:r w:rsidRPr="007A210F">
              <w:rPr>
                <w:sz w:val="18"/>
                <w:szCs w:val="18"/>
                <w:lang w:val="fr-FR"/>
              </w:rPr>
              <w:t xml:space="preserve"> du développement peuvent combiner des politiques visant à réduire les émissions de </w:t>
            </w:r>
            <w:r w:rsidR="008B7B9C">
              <w:rPr>
                <w:sz w:val="18"/>
                <w:szCs w:val="18"/>
                <w:lang w:val="fr-FR"/>
              </w:rPr>
              <w:t>gaz à effet de serre</w:t>
            </w:r>
            <w:r w:rsidRPr="007A210F">
              <w:rPr>
                <w:sz w:val="18"/>
                <w:szCs w:val="18"/>
                <w:lang w:val="fr-FR"/>
              </w:rPr>
              <w:t xml:space="preserve"> </w:t>
            </w:r>
            <w:r w:rsidR="008B7B9C">
              <w:rPr>
                <w:sz w:val="18"/>
                <w:szCs w:val="18"/>
                <w:lang w:val="fr-FR"/>
              </w:rPr>
              <w:t>grâce à d</w:t>
            </w:r>
            <w:r w:rsidRPr="007A210F">
              <w:rPr>
                <w:sz w:val="18"/>
                <w:szCs w:val="18"/>
                <w:lang w:val="fr-FR"/>
              </w:rPr>
              <w:t xml:space="preserve">es réformes </w:t>
            </w:r>
            <w:r w:rsidR="008B7B9C">
              <w:rPr>
                <w:sz w:val="18"/>
                <w:szCs w:val="18"/>
                <w:lang w:val="fr-FR"/>
              </w:rPr>
              <w:t xml:space="preserve">plus </w:t>
            </w:r>
            <w:r w:rsidR="008B7B9C" w:rsidRPr="007A210F">
              <w:rPr>
                <w:sz w:val="18"/>
                <w:szCs w:val="18"/>
                <w:lang w:val="fr-FR"/>
              </w:rPr>
              <w:t xml:space="preserve">larges </w:t>
            </w:r>
            <w:r w:rsidRPr="007A210F">
              <w:rPr>
                <w:sz w:val="18"/>
                <w:szCs w:val="18"/>
                <w:lang w:val="fr-FR"/>
              </w:rPr>
              <w:t xml:space="preserve">du secteur visant à réduire la pollution locale de l'air, les risques pour la sécurité routière et la congestion - générant ainsi de nouvelles ressources fiscales pour aider à financer la transition vers </w:t>
            </w:r>
            <w:r w:rsidR="008B7B9C">
              <w:rPr>
                <w:sz w:val="18"/>
                <w:szCs w:val="18"/>
                <w:lang w:val="fr-FR"/>
              </w:rPr>
              <w:t>une</w:t>
            </w:r>
            <w:r w:rsidRPr="007A210F">
              <w:rPr>
                <w:sz w:val="18"/>
                <w:szCs w:val="18"/>
                <w:lang w:val="fr-FR"/>
              </w:rPr>
              <w:t xml:space="preserve"> mobilité à faible émission de carbone. La session </w:t>
            </w:r>
            <w:r w:rsidR="00DA022D">
              <w:rPr>
                <w:sz w:val="18"/>
                <w:szCs w:val="18"/>
                <w:lang w:val="fr-FR"/>
              </w:rPr>
              <w:t>permettra de réfléchir</w:t>
            </w:r>
            <w:r w:rsidR="008B7B9C">
              <w:rPr>
                <w:sz w:val="18"/>
                <w:szCs w:val="18"/>
                <w:lang w:val="fr-FR"/>
              </w:rPr>
              <w:t xml:space="preserve"> aux</w:t>
            </w:r>
            <w:r w:rsidRPr="007A210F">
              <w:rPr>
                <w:sz w:val="18"/>
                <w:szCs w:val="18"/>
                <w:lang w:val="fr-FR"/>
              </w:rPr>
              <w:t xml:space="preserve"> moyens d'intégrer les orientations stratégiques décrites dans le rapport </w:t>
            </w:r>
            <w:r w:rsidR="00DA022D">
              <w:rPr>
                <w:sz w:val="18"/>
                <w:szCs w:val="18"/>
                <w:lang w:val="fr-FR"/>
              </w:rPr>
              <w:t>au sein des</w:t>
            </w:r>
            <w:r w:rsidRPr="007A210F">
              <w:rPr>
                <w:sz w:val="18"/>
                <w:szCs w:val="18"/>
                <w:lang w:val="fr-FR"/>
              </w:rPr>
              <w:t xml:space="preserve"> cadres d'évaluation des politiques et des projets dans les pays africains.</w:t>
            </w:r>
          </w:p>
          <w:p w:rsidR="008E353C" w:rsidRPr="00DA022D" w:rsidRDefault="008E353C" w:rsidP="00924DF4">
            <w:pPr>
              <w:autoSpaceDE w:val="0"/>
              <w:autoSpaceDN w:val="0"/>
              <w:adjustRightInd w:val="0"/>
              <w:rPr>
                <w:sz w:val="18"/>
                <w:szCs w:val="18"/>
                <w:lang w:val="fr-FR"/>
              </w:rPr>
            </w:pPr>
          </w:p>
        </w:tc>
        <w:tc>
          <w:tcPr>
            <w:tcW w:w="169" w:type="pct"/>
          </w:tcPr>
          <w:p w:rsidR="005906BE" w:rsidRPr="00DA022D" w:rsidRDefault="005906BE" w:rsidP="00847E7F">
            <w:pPr>
              <w:contextualSpacing/>
              <w:rPr>
                <w:sz w:val="18"/>
                <w:szCs w:val="18"/>
                <w:lang w:val="fr-FR"/>
              </w:rPr>
            </w:pPr>
          </w:p>
        </w:tc>
        <w:tc>
          <w:tcPr>
            <w:tcW w:w="170" w:type="pct"/>
          </w:tcPr>
          <w:p w:rsidR="005906BE" w:rsidRPr="00DA022D" w:rsidRDefault="005906BE" w:rsidP="00847E7F">
            <w:pPr>
              <w:contextualSpacing/>
              <w:rPr>
                <w:sz w:val="18"/>
                <w:szCs w:val="18"/>
                <w:lang w:val="fr-FR"/>
              </w:rPr>
            </w:pPr>
          </w:p>
        </w:tc>
        <w:tc>
          <w:tcPr>
            <w:tcW w:w="169" w:type="pct"/>
          </w:tcPr>
          <w:p w:rsidR="005906BE" w:rsidRPr="00DA022D" w:rsidRDefault="005906BE" w:rsidP="00847E7F">
            <w:pPr>
              <w:contextualSpacing/>
              <w:rPr>
                <w:sz w:val="18"/>
                <w:szCs w:val="18"/>
                <w:lang w:val="fr-FR"/>
              </w:rPr>
            </w:pPr>
          </w:p>
        </w:tc>
        <w:tc>
          <w:tcPr>
            <w:tcW w:w="169" w:type="pct"/>
          </w:tcPr>
          <w:p w:rsidR="005906BE" w:rsidRPr="00DA022D" w:rsidRDefault="005906BE" w:rsidP="00847E7F">
            <w:pPr>
              <w:contextualSpacing/>
              <w:rPr>
                <w:sz w:val="18"/>
                <w:szCs w:val="18"/>
                <w:lang w:val="fr-FR"/>
              </w:rPr>
            </w:pPr>
          </w:p>
        </w:tc>
        <w:tc>
          <w:tcPr>
            <w:tcW w:w="203" w:type="pct"/>
          </w:tcPr>
          <w:p w:rsidR="005906BE" w:rsidRPr="00DA022D" w:rsidRDefault="005906BE" w:rsidP="00847E7F">
            <w:pPr>
              <w:contextualSpacing/>
              <w:rPr>
                <w:sz w:val="18"/>
                <w:szCs w:val="18"/>
                <w:lang w:val="fr-FR"/>
              </w:rPr>
            </w:pPr>
          </w:p>
        </w:tc>
        <w:tc>
          <w:tcPr>
            <w:tcW w:w="1848" w:type="pct"/>
          </w:tcPr>
          <w:p w:rsidR="005906BE" w:rsidRPr="00DA022D" w:rsidRDefault="005906BE" w:rsidP="00847E7F">
            <w:pPr>
              <w:contextualSpacing/>
              <w:rPr>
                <w:sz w:val="18"/>
                <w:szCs w:val="18"/>
                <w:lang w:val="fr-FR"/>
              </w:rPr>
            </w:pPr>
          </w:p>
        </w:tc>
      </w:tr>
    </w:tbl>
    <w:p w:rsidR="00DA022D" w:rsidRDefault="00DA022D" w:rsidP="001F100F">
      <w:pPr>
        <w:spacing w:line="240" w:lineRule="auto"/>
        <w:ind w:left="720" w:firstLine="720"/>
        <w:rPr>
          <w:rFonts w:cs="Times New Roman"/>
          <w:b/>
          <w:i/>
          <w:color w:val="000000"/>
          <w:lang w:val="fr-FR"/>
        </w:rPr>
      </w:pPr>
    </w:p>
    <w:p w:rsidR="00781C4D" w:rsidRDefault="00781C4D" w:rsidP="00781C4D">
      <w:pPr>
        <w:spacing w:line="240" w:lineRule="auto"/>
        <w:ind w:left="720" w:hanging="720"/>
        <w:rPr>
          <w:rFonts w:cs="Times New Roman"/>
          <w:b/>
          <w:i/>
          <w:color w:val="000000"/>
          <w:lang w:val="fr-FR"/>
        </w:rPr>
        <w:sectPr w:rsidR="00781C4D" w:rsidSect="00087517">
          <w:pgSz w:w="15840" w:h="12240" w:orient="landscape"/>
          <w:pgMar w:top="1440" w:right="1440" w:bottom="1440" w:left="1440" w:header="720" w:footer="720" w:gutter="0"/>
          <w:cols w:space="720"/>
          <w:docGrid w:linePitch="360"/>
        </w:sectPr>
      </w:pPr>
    </w:p>
    <w:p w:rsidR="00781C4D" w:rsidRDefault="00541A92" w:rsidP="00781C4D">
      <w:pPr>
        <w:spacing w:line="240" w:lineRule="auto"/>
        <w:ind w:left="720" w:hanging="720"/>
        <w:rPr>
          <w:rFonts w:ascii="Helv" w:hAnsi="Helv" w:cs="Helv"/>
          <w:b/>
          <w:i/>
          <w:color w:val="000000"/>
          <w:sz w:val="24"/>
          <w:szCs w:val="24"/>
          <w:lang w:val="fr-FR"/>
        </w:rPr>
      </w:pPr>
      <w:r w:rsidRPr="00781C4D">
        <w:rPr>
          <w:rFonts w:cs="Times New Roman"/>
          <w:b/>
          <w:i/>
          <w:color w:val="000000"/>
          <w:sz w:val="24"/>
          <w:szCs w:val="24"/>
          <w:lang w:val="fr-FR"/>
        </w:rPr>
        <w:lastRenderedPageBreak/>
        <w:t>Création d'un environnement adéquat pour rendre les routes plus sûres en Afrique</w:t>
      </w:r>
    </w:p>
    <w:p w:rsidR="005906BE" w:rsidRPr="00781C4D" w:rsidRDefault="00536CF4" w:rsidP="00781C4D">
      <w:pPr>
        <w:spacing w:line="240" w:lineRule="auto"/>
        <w:rPr>
          <w:rFonts w:ascii="Helv" w:hAnsi="Helv" w:cs="Helv"/>
          <w:b/>
          <w:i/>
          <w:color w:val="000000"/>
          <w:sz w:val="24"/>
          <w:szCs w:val="24"/>
          <w:lang w:val="fr-FR"/>
        </w:rPr>
      </w:pPr>
      <w:r w:rsidRPr="00536CF4">
        <w:rPr>
          <w:lang w:val="fr-FR"/>
        </w:rPr>
        <w:t>Les présentations et les discussio</w:t>
      </w:r>
      <w:r>
        <w:rPr>
          <w:lang w:val="fr-FR"/>
        </w:rPr>
        <w:t xml:space="preserve">ns sur ce sujet insisteront sur </w:t>
      </w:r>
      <w:r w:rsidRPr="00536CF4">
        <w:rPr>
          <w:lang w:val="fr-FR"/>
        </w:rPr>
        <w:t>l'importance d'aborder la sécurité routière comme une question de santé publique multisectorielle.</w:t>
      </w:r>
    </w:p>
    <w:tbl>
      <w:tblPr>
        <w:tblStyle w:val="TableGrid"/>
        <w:tblW w:w="5000" w:type="pct"/>
        <w:tblLayout w:type="fixed"/>
        <w:tblLook w:val="04A0" w:firstRow="1" w:lastRow="0" w:firstColumn="1" w:lastColumn="0" w:noHBand="0" w:noVBand="1"/>
      </w:tblPr>
      <w:tblGrid>
        <w:gridCol w:w="2368"/>
        <w:gridCol w:w="4190"/>
        <w:gridCol w:w="422"/>
        <w:gridCol w:w="422"/>
        <w:gridCol w:w="422"/>
        <w:gridCol w:w="422"/>
        <w:gridCol w:w="424"/>
        <w:gridCol w:w="4506"/>
      </w:tblGrid>
      <w:tr w:rsidR="007350D1" w:rsidRPr="00320541" w:rsidTr="00781C4D">
        <w:trPr>
          <w:cantSplit/>
          <w:tblHeader/>
        </w:trPr>
        <w:tc>
          <w:tcPr>
            <w:tcW w:w="899"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Titre de la session</w:t>
            </w:r>
          </w:p>
        </w:tc>
        <w:tc>
          <w:tcPr>
            <w:tcW w:w="1590"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Description</w:t>
            </w:r>
          </w:p>
        </w:tc>
        <w:tc>
          <w:tcPr>
            <w:tcW w:w="801" w:type="pct"/>
            <w:gridSpan w:val="5"/>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Comment classeriez-vous la séance? (Importance / pertinence du sujet)</w:t>
            </w:r>
          </w:p>
        </w:tc>
        <w:tc>
          <w:tcPr>
            <w:tcW w:w="1710" w:type="pct"/>
            <w:vMerge w:val="restart"/>
            <w:shd w:val="clear" w:color="auto" w:fill="E5DFEC" w:themeFill="accent4" w:themeFillTint="33"/>
            <w:vAlign w:val="center"/>
          </w:tcPr>
          <w:p w:rsidR="007350D1" w:rsidRPr="00781C4D" w:rsidRDefault="007350D1" w:rsidP="007350D1">
            <w:pPr>
              <w:contextualSpacing/>
              <w:jc w:val="center"/>
              <w:rPr>
                <w:b/>
                <w:i/>
                <w:sz w:val="18"/>
                <w:szCs w:val="18"/>
                <w:lang w:val="fr-FR"/>
              </w:rPr>
            </w:pPr>
            <w:r w:rsidRPr="00781C4D">
              <w:rPr>
                <w:b/>
                <w:i/>
                <w:sz w:val="18"/>
                <w:szCs w:val="18"/>
                <w:lang w:val="fr-FR"/>
              </w:rPr>
              <w:t>Commentaires supplémentaires</w:t>
            </w:r>
          </w:p>
        </w:tc>
      </w:tr>
      <w:tr w:rsidR="00763052" w:rsidRPr="00320541" w:rsidTr="00781C4D">
        <w:trPr>
          <w:cantSplit/>
          <w:tblHeader/>
        </w:trPr>
        <w:tc>
          <w:tcPr>
            <w:tcW w:w="899" w:type="pct"/>
            <w:vMerge/>
            <w:shd w:val="clear" w:color="auto" w:fill="EEECE1" w:themeFill="background2"/>
          </w:tcPr>
          <w:p w:rsidR="00763052" w:rsidRPr="00781C4D" w:rsidRDefault="00763052" w:rsidP="00763052">
            <w:pPr>
              <w:contextualSpacing/>
              <w:jc w:val="center"/>
              <w:rPr>
                <w:b/>
                <w:i/>
                <w:sz w:val="18"/>
                <w:szCs w:val="18"/>
                <w:lang w:val="fr-FR"/>
              </w:rPr>
            </w:pPr>
          </w:p>
        </w:tc>
        <w:tc>
          <w:tcPr>
            <w:tcW w:w="1590" w:type="pct"/>
            <w:vMerge/>
            <w:shd w:val="clear" w:color="auto" w:fill="EEECE1" w:themeFill="background2"/>
          </w:tcPr>
          <w:p w:rsidR="00763052" w:rsidRPr="00781C4D" w:rsidRDefault="00763052" w:rsidP="00763052">
            <w:pPr>
              <w:contextualSpacing/>
              <w:jc w:val="center"/>
              <w:rPr>
                <w:b/>
                <w:i/>
                <w:sz w:val="18"/>
                <w:szCs w:val="18"/>
                <w:lang w:val="fr-FR"/>
              </w:rPr>
            </w:pPr>
          </w:p>
        </w:tc>
        <w:tc>
          <w:tcPr>
            <w:tcW w:w="160" w:type="pct"/>
            <w:shd w:val="clear" w:color="auto" w:fill="E5DFEC" w:themeFill="accent4" w:themeFillTint="33"/>
          </w:tcPr>
          <w:p w:rsidR="00763052" w:rsidRPr="00781C4D" w:rsidRDefault="00763052" w:rsidP="00763052">
            <w:pPr>
              <w:contextualSpacing/>
              <w:jc w:val="center"/>
              <w:rPr>
                <w:b/>
                <w:i/>
                <w:sz w:val="18"/>
                <w:szCs w:val="18"/>
                <w:lang w:val="fr-FR"/>
              </w:rPr>
            </w:pPr>
            <w:r w:rsidRPr="00781C4D">
              <w:rPr>
                <w:b/>
                <w:i/>
                <w:sz w:val="18"/>
                <w:szCs w:val="18"/>
                <w:lang w:val="fr-FR"/>
              </w:rPr>
              <w:t>0</w:t>
            </w:r>
          </w:p>
        </w:tc>
        <w:tc>
          <w:tcPr>
            <w:tcW w:w="160" w:type="pct"/>
            <w:shd w:val="clear" w:color="auto" w:fill="E5DFEC" w:themeFill="accent4" w:themeFillTint="33"/>
          </w:tcPr>
          <w:p w:rsidR="00763052" w:rsidRPr="00781C4D" w:rsidRDefault="00763052" w:rsidP="00763052">
            <w:pPr>
              <w:contextualSpacing/>
              <w:jc w:val="center"/>
              <w:rPr>
                <w:b/>
                <w:i/>
                <w:sz w:val="18"/>
                <w:szCs w:val="18"/>
                <w:lang w:val="fr-FR"/>
              </w:rPr>
            </w:pPr>
            <w:r w:rsidRPr="00781C4D">
              <w:rPr>
                <w:b/>
                <w:i/>
                <w:sz w:val="18"/>
                <w:szCs w:val="18"/>
                <w:lang w:val="fr-FR"/>
              </w:rPr>
              <w:t>1</w:t>
            </w:r>
          </w:p>
        </w:tc>
        <w:tc>
          <w:tcPr>
            <w:tcW w:w="160" w:type="pct"/>
            <w:shd w:val="clear" w:color="auto" w:fill="E5DFEC" w:themeFill="accent4" w:themeFillTint="33"/>
          </w:tcPr>
          <w:p w:rsidR="00763052" w:rsidRPr="00781C4D" w:rsidRDefault="00763052" w:rsidP="00763052">
            <w:pPr>
              <w:contextualSpacing/>
              <w:jc w:val="center"/>
              <w:rPr>
                <w:b/>
                <w:i/>
                <w:sz w:val="18"/>
                <w:szCs w:val="18"/>
                <w:lang w:val="fr-FR"/>
              </w:rPr>
            </w:pPr>
            <w:r w:rsidRPr="00781C4D">
              <w:rPr>
                <w:b/>
                <w:i/>
                <w:sz w:val="18"/>
                <w:szCs w:val="18"/>
                <w:lang w:val="fr-FR"/>
              </w:rPr>
              <w:t>2</w:t>
            </w:r>
          </w:p>
        </w:tc>
        <w:tc>
          <w:tcPr>
            <w:tcW w:w="160" w:type="pct"/>
            <w:shd w:val="clear" w:color="auto" w:fill="E5DFEC" w:themeFill="accent4" w:themeFillTint="33"/>
          </w:tcPr>
          <w:p w:rsidR="00763052" w:rsidRPr="00781C4D" w:rsidRDefault="00763052" w:rsidP="00763052">
            <w:pPr>
              <w:contextualSpacing/>
              <w:jc w:val="center"/>
              <w:rPr>
                <w:b/>
                <w:i/>
                <w:sz w:val="18"/>
                <w:szCs w:val="18"/>
                <w:lang w:val="fr-FR"/>
              </w:rPr>
            </w:pPr>
            <w:r w:rsidRPr="00781C4D">
              <w:rPr>
                <w:b/>
                <w:i/>
                <w:sz w:val="18"/>
                <w:szCs w:val="18"/>
                <w:lang w:val="fr-FR"/>
              </w:rPr>
              <w:t>3</w:t>
            </w:r>
          </w:p>
        </w:tc>
        <w:tc>
          <w:tcPr>
            <w:tcW w:w="161" w:type="pct"/>
            <w:shd w:val="clear" w:color="auto" w:fill="E5DFEC" w:themeFill="accent4" w:themeFillTint="33"/>
          </w:tcPr>
          <w:p w:rsidR="00763052" w:rsidRPr="00781C4D" w:rsidRDefault="00763052" w:rsidP="00763052">
            <w:pPr>
              <w:contextualSpacing/>
              <w:jc w:val="center"/>
              <w:rPr>
                <w:b/>
                <w:i/>
                <w:sz w:val="18"/>
                <w:szCs w:val="18"/>
                <w:lang w:val="fr-FR"/>
              </w:rPr>
            </w:pPr>
            <w:r w:rsidRPr="00781C4D">
              <w:rPr>
                <w:b/>
                <w:i/>
                <w:sz w:val="18"/>
                <w:szCs w:val="18"/>
                <w:lang w:val="fr-FR"/>
              </w:rPr>
              <w:t>4</w:t>
            </w:r>
          </w:p>
        </w:tc>
        <w:tc>
          <w:tcPr>
            <w:tcW w:w="1710" w:type="pct"/>
            <w:vMerge/>
            <w:shd w:val="clear" w:color="auto" w:fill="EEECE1" w:themeFill="background2"/>
          </w:tcPr>
          <w:p w:rsidR="00763052" w:rsidRPr="00781C4D" w:rsidRDefault="00763052" w:rsidP="00763052">
            <w:pPr>
              <w:contextualSpacing/>
              <w:jc w:val="center"/>
              <w:rPr>
                <w:b/>
                <w:i/>
                <w:sz w:val="18"/>
                <w:szCs w:val="18"/>
                <w:lang w:val="fr-FR"/>
              </w:rPr>
            </w:pPr>
          </w:p>
        </w:tc>
      </w:tr>
      <w:tr w:rsidR="00320541" w:rsidRPr="007C077B" w:rsidTr="003A19AD">
        <w:tc>
          <w:tcPr>
            <w:tcW w:w="899" w:type="pct"/>
          </w:tcPr>
          <w:p w:rsidR="005906BE" w:rsidRPr="00781C4D" w:rsidRDefault="008B7B9C" w:rsidP="008B7B9C">
            <w:pPr>
              <w:contextualSpacing/>
              <w:rPr>
                <w:sz w:val="18"/>
                <w:szCs w:val="18"/>
                <w:lang w:val="fr-FR"/>
              </w:rPr>
            </w:pPr>
            <w:r w:rsidRPr="00781C4D">
              <w:rPr>
                <w:b/>
                <w:sz w:val="18"/>
                <w:szCs w:val="18"/>
                <w:lang w:val="fr-FR"/>
              </w:rPr>
              <w:t xml:space="preserve">Directives du SSATP pour intégrer la sécurité routière le long des corridors routiers </w:t>
            </w:r>
            <w:r w:rsidR="00587BED" w:rsidRPr="00781C4D">
              <w:rPr>
                <w:b/>
                <w:sz w:val="18"/>
                <w:szCs w:val="18"/>
                <w:lang w:val="fr-FR"/>
              </w:rPr>
              <w:t>de commerce régional</w:t>
            </w:r>
          </w:p>
        </w:tc>
        <w:tc>
          <w:tcPr>
            <w:tcW w:w="1590" w:type="pct"/>
          </w:tcPr>
          <w:p w:rsidR="00DA022D" w:rsidRPr="00781C4D" w:rsidRDefault="00536CF4" w:rsidP="00924DF4">
            <w:pPr>
              <w:contextualSpacing/>
              <w:rPr>
                <w:sz w:val="18"/>
                <w:szCs w:val="18"/>
                <w:lang w:val="fr-FR"/>
              </w:rPr>
            </w:pPr>
            <w:r w:rsidRPr="00781C4D">
              <w:rPr>
                <w:sz w:val="18"/>
                <w:szCs w:val="18"/>
                <w:lang w:val="fr-FR"/>
              </w:rPr>
              <w:t>Les Inves</w:t>
            </w:r>
            <w:r w:rsidR="00587BED" w:rsidRPr="00781C4D">
              <w:rPr>
                <w:sz w:val="18"/>
                <w:szCs w:val="18"/>
                <w:lang w:val="fr-FR"/>
              </w:rPr>
              <w:t>tissements de sécurité routière</w:t>
            </w:r>
            <w:r w:rsidRPr="00781C4D">
              <w:rPr>
                <w:sz w:val="18"/>
                <w:szCs w:val="18"/>
                <w:lang w:val="fr-FR"/>
              </w:rPr>
              <w:t xml:space="preserve"> </w:t>
            </w:r>
            <w:r w:rsidR="00587BED" w:rsidRPr="00781C4D">
              <w:rPr>
                <w:sz w:val="18"/>
                <w:szCs w:val="18"/>
                <w:lang w:val="fr-FR"/>
              </w:rPr>
              <w:t>sur</w:t>
            </w:r>
            <w:r w:rsidRPr="00781C4D">
              <w:rPr>
                <w:sz w:val="18"/>
                <w:szCs w:val="18"/>
                <w:lang w:val="fr-FR"/>
              </w:rPr>
              <w:t xml:space="preserve"> les corridors de commerce </w:t>
            </w:r>
            <w:r w:rsidR="00587BED" w:rsidRPr="00781C4D">
              <w:rPr>
                <w:sz w:val="18"/>
                <w:szCs w:val="18"/>
                <w:lang w:val="fr-FR"/>
              </w:rPr>
              <w:t>régional</w:t>
            </w:r>
            <w:r w:rsidRPr="00781C4D">
              <w:rPr>
                <w:sz w:val="18"/>
                <w:szCs w:val="18"/>
                <w:lang w:val="fr-FR"/>
              </w:rPr>
              <w:t xml:space="preserve"> </w:t>
            </w:r>
            <w:r w:rsidR="005906BE" w:rsidRPr="00781C4D">
              <w:rPr>
                <w:sz w:val="18"/>
                <w:szCs w:val="18"/>
                <w:lang w:val="fr-FR"/>
              </w:rPr>
              <w:t xml:space="preserve">(RTRCs) </w:t>
            </w:r>
            <w:r w:rsidRPr="00781C4D">
              <w:rPr>
                <w:sz w:val="18"/>
                <w:szCs w:val="18"/>
                <w:lang w:val="fr-FR"/>
              </w:rPr>
              <w:t xml:space="preserve">présentent les meilleures opportunités d'impact d’interventions de sécurité routière </w:t>
            </w:r>
            <w:r w:rsidR="00587BED" w:rsidRPr="00781C4D">
              <w:rPr>
                <w:sz w:val="18"/>
                <w:szCs w:val="18"/>
                <w:lang w:val="fr-FR"/>
              </w:rPr>
              <w:t>car</w:t>
            </w:r>
            <w:r w:rsidRPr="00781C4D">
              <w:rPr>
                <w:sz w:val="18"/>
                <w:szCs w:val="18"/>
                <w:lang w:val="fr-FR"/>
              </w:rPr>
              <w:t xml:space="preserve"> ces corridors connaissent habituellement les plus gros volumes de trafic, </w:t>
            </w:r>
            <w:r w:rsidR="00587BED" w:rsidRPr="00781C4D">
              <w:rPr>
                <w:sz w:val="18"/>
                <w:szCs w:val="18"/>
                <w:lang w:val="fr-FR"/>
              </w:rPr>
              <w:t>constituent des priorités</w:t>
            </w:r>
            <w:r w:rsidRPr="00781C4D">
              <w:rPr>
                <w:sz w:val="18"/>
                <w:szCs w:val="18"/>
                <w:lang w:val="fr-FR"/>
              </w:rPr>
              <w:t xml:space="preserve"> stratégique</w:t>
            </w:r>
            <w:r w:rsidR="00587BED" w:rsidRPr="00781C4D">
              <w:rPr>
                <w:sz w:val="18"/>
                <w:szCs w:val="18"/>
                <w:lang w:val="fr-FR"/>
              </w:rPr>
              <w:t xml:space="preserve">s importantes, attirent </w:t>
            </w:r>
            <w:r w:rsidRPr="00781C4D">
              <w:rPr>
                <w:sz w:val="18"/>
                <w:szCs w:val="18"/>
                <w:lang w:val="fr-FR"/>
              </w:rPr>
              <w:t xml:space="preserve">des investissements importants, et sont particulièrement favorables à des </w:t>
            </w:r>
            <w:r w:rsidR="00DA022D" w:rsidRPr="00781C4D">
              <w:rPr>
                <w:sz w:val="18"/>
                <w:szCs w:val="18"/>
                <w:lang w:val="fr-FR"/>
              </w:rPr>
              <w:t>interventions</w:t>
            </w:r>
            <w:r w:rsidRPr="00781C4D">
              <w:rPr>
                <w:sz w:val="18"/>
                <w:szCs w:val="18"/>
                <w:lang w:val="fr-FR"/>
              </w:rPr>
              <w:t xml:space="preserve"> ciblé</w:t>
            </w:r>
            <w:r w:rsidR="00DA022D" w:rsidRPr="00781C4D">
              <w:rPr>
                <w:sz w:val="18"/>
                <w:szCs w:val="18"/>
                <w:lang w:val="fr-FR"/>
              </w:rPr>
              <w:t>e</w:t>
            </w:r>
            <w:r w:rsidRPr="00781C4D">
              <w:rPr>
                <w:sz w:val="18"/>
                <w:szCs w:val="18"/>
                <w:lang w:val="fr-FR"/>
              </w:rPr>
              <w:t xml:space="preserve">s. Ce document de travail du SSATP est destiné à servir de guide pour l'intégration de la sécurité routière dans les programmes d'investissement des corridors </w:t>
            </w:r>
            <w:r w:rsidR="00587BED" w:rsidRPr="00781C4D">
              <w:rPr>
                <w:sz w:val="18"/>
                <w:szCs w:val="18"/>
                <w:lang w:val="fr-FR"/>
              </w:rPr>
              <w:t xml:space="preserve">de </w:t>
            </w:r>
            <w:r w:rsidRPr="00781C4D">
              <w:rPr>
                <w:sz w:val="18"/>
                <w:szCs w:val="18"/>
                <w:lang w:val="fr-FR"/>
              </w:rPr>
              <w:t>commerc</w:t>
            </w:r>
            <w:r w:rsidR="00587BED" w:rsidRPr="00781C4D">
              <w:rPr>
                <w:sz w:val="18"/>
                <w:szCs w:val="18"/>
                <w:lang w:val="fr-FR"/>
              </w:rPr>
              <w:t>e régional</w:t>
            </w:r>
            <w:r w:rsidRPr="00781C4D">
              <w:rPr>
                <w:sz w:val="18"/>
                <w:szCs w:val="18"/>
                <w:lang w:val="fr-FR"/>
              </w:rPr>
              <w:t xml:space="preserve">, et </w:t>
            </w:r>
            <w:r w:rsidR="00587BED" w:rsidRPr="00781C4D">
              <w:rPr>
                <w:sz w:val="18"/>
                <w:szCs w:val="18"/>
                <w:lang w:val="fr-FR"/>
              </w:rPr>
              <w:t xml:space="preserve">de fournir </w:t>
            </w:r>
            <w:r w:rsidRPr="00781C4D">
              <w:rPr>
                <w:sz w:val="18"/>
                <w:szCs w:val="18"/>
                <w:lang w:val="fr-FR"/>
              </w:rPr>
              <w:t xml:space="preserve">des recommandations </w:t>
            </w:r>
            <w:r w:rsidR="00587BED" w:rsidRPr="00781C4D">
              <w:rPr>
                <w:sz w:val="18"/>
                <w:szCs w:val="18"/>
                <w:lang w:val="fr-FR"/>
              </w:rPr>
              <w:t xml:space="preserve">pratiques </w:t>
            </w:r>
            <w:r w:rsidRPr="00781C4D">
              <w:rPr>
                <w:sz w:val="18"/>
                <w:szCs w:val="18"/>
                <w:lang w:val="fr-FR"/>
              </w:rPr>
              <w:t xml:space="preserve">sur la façon d'identifier, </w:t>
            </w:r>
            <w:r w:rsidR="00587BED" w:rsidRPr="00781C4D">
              <w:rPr>
                <w:sz w:val="18"/>
                <w:szCs w:val="18"/>
                <w:lang w:val="fr-FR"/>
              </w:rPr>
              <w:t xml:space="preserve">de </w:t>
            </w:r>
            <w:r w:rsidRPr="00781C4D">
              <w:rPr>
                <w:sz w:val="18"/>
                <w:szCs w:val="18"/>
                <w:lang w:val="fr-FR"/>
              </w:rPr>
              <w:t xml:space="preserve">préparer et </w:t>
            </w:r>
            <w:r w:rsidR="00587BED" w:rsidRPr="00781C4D">
              <w:rPr>
                <w:sz w:val="18"/>
                <w:szCs w:val="18"/>
                <w:lang w:val="fr-FR"/>
              </w:rPr>
              <w:t xml:space="preserve">de </w:t>
            </w:r>
            <w:r w:rsidRPr="00781C4D">
              <w:rPr>
                <w:sz w:val="18"/>
                <w:szCs w:val="18"/>
                <w:lang w:val="fr-FR"/>
              </w:rPr>
              <w:t>mettre en œuvre des projets eff</w:t>
            </w:r>
            <w:r w:rsidR="00587BED" w:rsidRPr="00781C4D">
              <w:rPr>
                <w:sz w:val="18"/>
                <w:szCs w:val="18"/>
                <w:lang w:val="fr-FR"/>
              </w:rPr>
              <w:t>icaces de sécurité routière</w:t>
            </w:r>
            <w:r w:rsidRPr="00781C4D">
              <w:rPr>
                <w:sz w:val="18"/>
                <w:szCs w:val="18"/>
                <w:lang w:val="fr-FR"/>
              </w:rPr>
              <w:t>, basé</w:t>
            </w:r>
            <w:r w:rsidR="00587BED" w:rsidRPr="00781C4D">
              <w:rPr>
                <w:sz w:val="18"/>
                <w:szCs w:val="18"/>
                <w:lang w:val="fr-FR"/>
              </w:rPr>
              <w:t>es</w:t>
            </w:r>
            <w:r w:rsidRPr="00781C4D">
              <w:rPr>
                <w:sz w:val="18"/>
                <w:szCs w:val="18"/>
                <w:lang w:val="fr-FR"/>
              </w:rPr>
              <w:t xml:space="preserve"> sur l'expérience mo</w:t>
            </w:r>
            <w:r w:rsidR="00587BED" w:rsidRPr="00781C4D">
              <w:rPr>
                <w:sz w:val="18"/>
                <w:szCs w:val="18"/>
                <w:lang w:val="fr-FR"/>
              </w:rPr>
              <w:t>ndiale des meilleures pratiques</w:t>
            </w:r>
            <w:r w:rsidRPr="00781C4D">
              <w:rPr>
                <w:sz w:val="18"/>
                <w:szCs w:val="18"/>
                <w:lang w:val="fr-FR"/>
              </w:rPr>
              <w:t>.</w:t>
            </w:r>
          </w:p>
          <w:p w:rsidR="00781C4D" w:rsidRPr="00781C4D" w:rsidRDefault="00781C4D" w:rsidP="00924DF4">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1" w:type="pct"/>
          </w:tcPr>
          <w:p w:rsidR="005906BE" w:rsidRPr="00781C4D" w:rsidRDefault="005906BE" w:rsidP="00847E7F">
            <w:pPr>
              <w:contextualSpacing/>
              <w:rPr>
                <w:sz w:val="18"/>
                <w:szCs w:val="18"/>
                <w:lang w:val="fr-FR"/>
              </w:rPr>
            </w:pPr>
          </w:p>
        </w:tc>
        <w:tc>
          <w:tcPr>
            <w:tcW w:w="1710" w:type="pct"/>
          </w:tcPr>
          <w:p w:rsidR="005906BE" w:rsidRPr="00781C4D" w:rsidRDefault="005906BE" w:rsidP="00847E7F">
            <w:pPr>
              <w:contextualSpacing/>
              <w:rPr>
                <w:sz w:val="18"/>
                <w:szCs w:val="18"/>
                <w:lang w:val="fr-FR"/>
              </w:rPr>
            </w:pPr>
          </w:p>
        </w:tc>
      </w:tr>
      <w:tr w:rsidR="00320541" w:rsidRPr="007C077B" w:rsidTr="003A19AD">
        <w:tc>
          <w:tcPr>
            <w:tcW w:w="899" w:type="pct"/>
          </w:tcPr>
          <w:p w:rsidR="005906BE" w:rsidRPr="00781C4D" w:rsidRDefault="00587BED" w:rsidP="00847E7F">
            <w:pPr>
              <w:contextualSpacing/>
              <w:rPr>
                <w:sz w:val="18"/>
                <w:szCs w:val="18"/>
                <w:lang w:val="fr-FR"/>
              </w:rPr>
            </w:pPr>
            <w:r w:rsidRPr="00781C4D">
              <w:rPr>
                <w:b/>
                <w:sz w:val="18"/>
                <w:szCs w:val="18"/>
                <w:lang w:val="fr-FR"/>
              </w:rPr>
              <w:t>Initiatives de sécurité routière sur le corridor Abidjan-Lagos</w:t>
            </w:r>
          </w:p>
        </w:tc>
        <w:tc>
          <w:tcPr>
            <w:tcW w:w="1590" w:type="pct"/>
          </w:tcPr>
          <w:p w:rsidR="00DA022D" w:rsidRPr="00781C4D" w:rsidRDefault="00587BED" w:rsidP="00924DF4">
            <w:pPr>
              <w:contextualSpacing/>
              <w:rPr>
                <w:sz w:val="18"/>
                <w:szCs w:val="18"/>
                <w:lang w:val="fr-FR"/>
              </w:rPr>
            </w:pPr>
            <w:r w:rsidRPr="00781C4D">
              <w:rPr>
                <w:sz w:val="18"/>
                <w:szCs w:val="18"/>
                <w:lang w:val="fr-FR"/>
              </w:rPr>
              <w:t xml:space="preserve">L'Agence des routes du Ghana a commandé une évaluation détaillée des risques pour la sécurité routière le long du corridor Abidjan-Lagos, pour recommander des solutions rapides et efficaces qui pourraient diminuer l'incidence des accidents de la route dans le court terme, </w:t>
            </w:r>
            <w:r w:rsidR="00924DF4" w:rsidRPr="00781C4D">
              <w:rPr>
                <w:sz w:val="18"/>
                <w:szCs w:val="18"/>
                <w:lang w:val="fr-FR"/>
              </w:rPr>
              <w:t xml:space="preserve">et </w:t>
            </w:r>
            <w:r w:rsidRPr="00781C4D">
              <w:rPr>
                <w:sz w:val="18"/>
                <w:szCs w:val="18"/>
                <w:lang w:val="fr-FR"/>
              </w:rPr>
              <w:t xml:space="preserve">pour améliorer à long terme la sécurité routière et pour proposer de nouvelles normes architecturales et d'ingénierie </w:t>
            </w:r>
            <w:r w:rsidR="00DA022D" w:rsidRPr="00781C4D">
              <w:rPr>
                <w:sz w:val="18"/>
                <w:szCs w:val="18"/>
                <w:lang w:val="fr-FR"/>
              </w:rPr>
              <w:t>lors de</w:t>
            </w:r>
            <w:r w:rsidRPr="00781C4D">
              <w:rPr>
                <w:sz w:val="18"/>
                <w:szCs w:val="18"/>
                <w:lang w:val="fr-FR"/>
              </w:rPr>
              <w:t xml:space="preserve"> la construction des futures</w:t>
            </w:r>
            <w:r w:rsidR="00924DF4" w:rsidRPr="00781C4D">
              <w:rPr>
                <w:sz w:val="18"/>
                <w:szCs w:val="18"/>
                <w:lang w:val="fr-FR"/>
              </w:rPr>
              <w:t xml:space="preserve"> routes</w:t>
            </w:r>
            <w:r w:rsidRPr="00781C4D">
              <w:rPr>
                <w:sz w:val="18"/>
                <w:szCs w:val="18"/>
                <w:lang w:val="fr-FR"/>
              </w:rPr>
              <w:t>.</w:t>
            </w:r>
          </w:p>
          <w:p w:rsidR="00781C4D" w:rsidRPr="00781C4D" w:rsidRDefault="00781C4D" w:rsidP="00924DF4">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0" w:type="pct"/>
          </w:tcPr>
          <w:p w:rsidR="005906BE" w:rsidRPr="00781C4D" w:rsidRDefault="005906BE" w:rsidP="00847E7F">
            <w:pPr>
              <w:contextualSpacing/>
              <w:rPr>
                <w:sz w:val="18"/>
                <w:szCs w:val="18"/>
                <w:lang w:val="fr-FR"/>
              </w:rPr>
            </w:pPr>
          </w:p>
        </w:tc>
        <w:tc>
          <w:tcPr>
            <w:tcW w:w="161" w:type="pct"/>
          </w:tcPr>
          <w:p w:rsidR="005906BE" w:rsidRPr="00781C4D" w:rsidRDefault="005906BE" w:rsidP="00847E7F">
            <w:pPr>
              <w:contextualSpacing/>
              <w:rPr>
                <w:sz w:val="18"/>
                <w:szCs w:val="18"/>
                <w:lang w:val="fr-FR"/>
              </w:rPr>
            </w:pPr>
          </w:p>
        </w:tc>
        <w:tc>
          <w:tcPr>
            <w:tcW w:w="1710" w:type="pct"/>
          </w:tcPr>
          <w:p w:rsidR="005906BE" w:rsidRPr="00781C4D" w:rsidRDefault="005906BE" w:rsidP="00847E7F">
            <w:pPr>
              <w:contextualSpacing/>
              <w:rPr>
                <w:sz w:val="18"/>
                <w:szCs w:val="18"/>
                <w:lang w:val="fr-FR"/>
              </w:rPr>
            </w:pPr>
          </w:p>
        </w:tc>
      </w:tr>
      <w:tr w:rsidR="00320541" w:rsidRPr="007C077B" w:rsidTr="003A19AD">
        <w:trPr>
          <w:cantSplit/>
        </w:trPr>
        <w:tc>
          <w:tcPr>
            <w:tcW w:w="899" w:type="pct"/>
          </w:tcPr>
          <w:p w:rsidR="00587BED" w:rsidRPr="00587BED" w:rsidRDefault="00587BED" w:rsidP="00847E7F">
            <w:pPr>
              <w:contextualSpacing/>
              <w:rPr>
                <w:b/>
                <w:sz w:val="18"/>
                <w:szCs w:val="18"/>
                <w:lang w:val="fr-FR"/>
              </w:rPr>
            </w:pPr>
            <w:r w:rsidRPr="00587BED">
              <w:rPr>
                <w:b/>
                <w:sz w:val="18"/>
                <w:szCs w:val="18"/>
                <w:lang w:val="fr-FR"/>
              </w:rPr>
              <w:lastRenderedPageBreak/>
              <w:t>Accroître la sécurité routière pour le fret commercial en Tanzanie et le long du couloir central</w:t>
            </w:r>
          </w:p>
          <w:p w:rsidR="005906BE" w:rsidRPr="00587BED" w:rsidRDefault="005906BE" w:rsidP="00847E7F">
            <w:pPr>
              <w:contextualSpacing/>
              <w:rPr>
                <w:sz w:val="18"/>
                <w:szCs w:val="18"/>
                <w:lang w:val="fr-FR"/>
              </w:rPr>
            </w:pPr>
          </w:p>
        </w:tc>
        <w:tc>
          <w:tcPr>
            <w:tcW w:w="1590" w:type="pct"/>
          </w:tcPr>
          <w:p w:rsidR="00DA022D" w:rsidRDefault="00587BED" w:rsidP="00924DF4">
            <w:pPr>
              <w:contextualSpacing/>
              <w:rPr>
                <w:sz w:val="18"/>
                <w:szCs w:val="18"/>
                <w:lang w:val="fr-FR"/>
              </w:rPr>
            </w:pPr>
            <w:r w:rsidRPr="00587BED">
              <w:rPr>
                <w:sz w:val="18"/>
                <w:szCs w:val="18"/>
                <w:lang w:val="fr-FR"/>
              </w:rPr>
              <w:t>L</w:t>
            </w:r>
            <w:r>
              <w:rPr>
                <w:sz w:val="18"/>
                <w:szCs w:val="18"/>
                <w:lang w:val="fr-FR"/>
              </w:rPr>
              <w:t xml:space="preserve">e </w:t>
            </w:r>
            <w:r w:rsidRPr="00587BED">
              <w:rPr>
                <w:sz w:val="18"/>
                <w:szCs w:val="18"/>
                <w:lang w:val="fr-FR"/>
              </w:rPr>
              <w:t xml:space="preserve">SSATP publiera bientôt une étude sur l'amélioration de la sécurité routière pour le fret commercial en Tanzanie et le long du </w:t>
            </w:r>
            <w:r>
              <w:rPr>
                <w:sz w:val="18"/>
                <w:szCs w:val="18"/>
                <w:lang w:val="fr-FR"/>
              </w:rPr>
              <w:t>corridor</w:t>
            </w:r>
            <w:r w:rsidRPr="00587BED">
              <w:rPr>
                <w:sz w:val="18"/>
                <w:szCs w:val="18"/>
                <w:lang w:val="fr-FR"/>
              </w:rPr>
              <w:t xml:space="preserve"> central (pour la partie Tanzanie, Rwanda et Burundi). L'é</w:t>
            </w:r>
            <w:r>
              <w:rPr>
                <w:sz w:val="18"/>
                <w:szCs w:val="18"/>
                <w:lang w:val="fr-FR"/>
              </w:rPr>
              <w:t xml:space="preserve">tude porte principalement sur </w:t>
            </w:r>
            <w:r w:rsidRPr="00587BED">
              <w:rPr>
                <w:sz w:val="18"/>
                <w:szCs w:val="18"/>
                <w:lang w:val="fr-FR"/>
              </w:rPr>
              <w:t>une meilleure coopération entre les opérateurs de transport routier et les pouvoirs publics, l'amélioration des qualifications des</w:t>
            </w:r>
            <w:r w:rsidR="00924DF4">
              <w:rPr>
                <w:sz w:val="18"/>
                <w:szCs w:val="18"/>
                <w:lang w:val="fr-FR"/>
              </w:rPr>
              <w:t xml:space="preserve"> chauffeurs routiers</w:t>
            </w:r>
            <w:r w:rsidRPr="00587BED">
              <w:rPr>
                <w:sz w:val="18"/>
                <w:szCs w:val="18"/>
                <w:lang w:val="fr-FR"/>
              </w:rPr>
              <w:t xml:space="preserve">, </w:t>
            </w:r>
            <w:r>
              <w:rPr>
                <w:sz w:val="18"/>
                <w:szCs w:val="18"/>
                <w:lang w:val="fr-FR"/>
              </w:rPr>
              <w:t xml:space="preserve">la promotion de </w:t>
            </w:r>
            <w:r w:rsidRPr="00587BED">
              <w:rPr>
                <w:sz w:val="18"/>
                <w:szCs w:val="18"/>
                <w:lang w:val="fr-FR"/>
              </w:rPr>
              <w:t xml:space="preserve">la diffusion des bonnes pratiques entre les opérateurs de transport et leur personnel, et </w:t>
            </w:r>
            <w:r>
              <w:rPr>
                <w:sz w:val="18"/>
                <w:szCs w:val="18"/>
                <w:lang w:val="fr-FR"/>
              </w:rPr>
              <w:t>la diminution d</w:t>
            </w:r>
            <w:r w:rsidRPr="00587BED">
              <w:rPr>
                <w:sz w:val="18"/>
                <w:szCs w:val="18"/>
                <w:lang w:val="fr-FR"/>
              </w:rPr>
              <w:t xml:space="preserve">es risques engendrés par le changement </w:t>
            </w:r>
            <w:r>
              <w:rPr>
                <w:sz w:val="18"/>
                <w:szCs w:val="18"/>
                <w:lang w:val="fr-FR"/>
              </w:rPr>
              <w:t xml:space="preserve">du sens de circulation </w:t>
            </w:r>
            <w:r w:rsidRPr="00587BED">
              <w:rPr>
                <w:sz w:val="18"/>
                <w:szCs w:val="18"/>
                <w:lang w:val="fr-FR"/>
              </w:rPr>
              <w:t xml:space="preserve">entre les différents pays </w:t>
            </w:r>
            <w:r>
              <w:rPr>
                <w:sz w:val="18"/>
                <w:szCs w:val="18"/>
                <w:lang w:val="fr-FR"/>
              </w:rPr>
              <w:t>desservis par corridor</w:t>
            </w:r>
            <w:r w:rsidRPr="00587BED">
              <w:rPr>
                <w:sz w:val="18"/>
                <w:szCs w:val="18"/>
                <w:lang w:val="fr-FR"/>
              </w:rPr>
              <w:t xml:space="preserve"> central.</w:t>
            </w:r>
          </w:p>
          <w:p w:rsidR="00781C4D" w:rsidRPr="00587BED" w:rsidRDefault="00781C4D" w:rsidP="00924DF4">
            <w:pPr>
              <w:contextualSpacing/>
              <w:rPr>
                <w:sz w:val="18"/>
                <w:szCs w:val="18"/>
                <w:lang w:val="fr-FR"/>
              </w:rPr>
            </w:pPr>
          </w:p>
        </w:tc>
        <w:tc>
          <w:tcPr>
            <w:tcW w:w="160" w:type="pct"/>
          </w:tcPr>
          <w:p w:rsidR="005906BE" w:rsidRPr="00587BED" w:rsidRDefault="005906BE" w:rsidP="00847E7F">
            <w:pPr>
              <w:contextualSpacing/>
              <w:rPr>
                <w:sz w:val="18"/>
                <w:szCs w:val="18"/>
                <w:lang w:val="fr-FR"/>
              </w:rPr>
            </w:pPr>
          </w:p>
        </w:tc>
        <w:tc>
          <w:tcPr>
            <w:tcW w:w="160" w:type="pct"/>
          </w:tcPr>
          <w:p w:rsidR="005906BE" w:rsidRPr="00587BED" w:rsidRDefault="005906BE" w:rsidP="00847E7F">
            <w:pPr>
              <w:contextualSpacing/>
              <w:rPr>
                <w:sz w:val="18"/>
                <w:szCs w:val="18"/>
                <w:lang w:val="fr-FR"/>
              </w:rPr>
            </w:pPr>
          </w:p>
        </w:tc>
        <w:tc>
          <w:tcPr>
            <w:tcW w:w="160" w:type="pct"/>
          </w:tcPr>
          <w:p w:rsidR="005906BE" w:rsidRPr="00587BED" w:rsidRDefault="005906BE" w:rsidP="00847E7F">
            <w:pPr>
              <w:contextualSpacing/>
              <w:rPr>
                <w:sz w:val="18"/>
                <w:szCs w:val="18"/>
                <w:lang w:val="fr-FR"/>
              </w:rPr>
            </w:pPr>
          </w:p>
        </w:tc>
        <w:tc>
          <w:tcPr>
            <w:tcW w:w="160" w:type="pct"/>
          </w:tcPr>
          <w:p w:rsidR="005906BE" w:rsidRPr="00587BED" w:rsidRDefault="005906BE" w:rsidP="00847E7F">
            <w:pPr>
              <w:contextualSpacing/>
              <w:rPr>
                <w:sz w:val="18"/>
                <w:szCs w:val="18"/>
                <w:lang w:val="fr-FR"/>
              </w:rPr>
            </w:pPr>
          </w:p>
        </w:tc>
        <w:tc>
          <w:tcPr>
            <w:tcW w:w="161" w:type="pct"/>
          </w:tcPr>
          <w:p w:rsidR="005906BE" w:rsidRPr="00587BED" w:rsidRDefault="005906BE" w:rsidP="00847E7F">
            <w:pPr>
              <w:contextualSpacing/>
              <w:rPr>
                <w:sz w:val="18"/>
                <w:szCs w:val="18"/>
                <w:lang w:val="fr-FR"/>
              </w:rPr>
            </w:pPr>
          </w:p>
        </w:tc>
        <w:tc>
          <w:tcPr>
            <w:tcW w:w="1710" w:type="pct"/>
          </w:tcPr>
          <w:p w:rsidR="005906BE" w:rsidRPr="00587BED" w:rsidRDefault="005906BE" w:rsidP="00847E7F">
            <w:pPr>
              <w:contextualSpacing/>
              <w:rPr>
                <w:sz w:val="18"/>
                <w:szCs w:val="18"/>
                <w:lang w:val="fr-FR"/>
              </w:rPr>
            </w:pPr>
          </w:p>
        </w:tc>
      </w:tr>
      <w:tr w:rsidR="00320541" w:rsidRPr="007C077B" w:rsidTr="003A19AD">
        <w:trPr>
          <w:cantSplit/>
        </w:trPr>
        <w:tc>
          <w:tcPr>
            <w:tcW w:w="899" w:type="pct"/>
          </w:tcPr>
          <w:p w:rsidR="005906BE" w:rsidRPr="00DA7CFD" w:rsidRDefault="00DA7CFD" w:rsidP="00847E7F">
            <w:pPr>
              <w:contextualSpacing/>
              <w:rPr>
                <w:sz w:val="18"/>
                <w:szCs w:val="18"/>
                <w:lang w:val="fr-FR"/>
              </w:rPr>
            </w:pPr>
            <w:r w:rsidRPr="00DA7CFD">
              <w:rPr>
                <w:b/>
                <w:sz w:val="18"/>
                <w:szCs w:val="18"/>
                <w:lang w:val="fr-FR"/>
              </w:rPr>
              <w:t>Stratégie de sécurité routière du Sénégal</w:t>
            </w:r>
          </w:p>
        </w:tc>
        <w:tc>
          <w:tcPr>
            <w:tcW w:w="1590" w:type="pct"/>
          </w:tcPr>
          <w:p w:rsidR="00363E8D" w:rsidRDefault="00363E8D" w:rsidP="00924DF4">
            <w:pPr>
              <w:contextualSpacing/>
              <w:rPr>
                <w:sz w:val="18"/>
                <w:szCs w:val="18"/>
                <w:lang w:val="fr-FR"/>
              </w:rPr>
            </w:pPr>
            <w:r w:rsidRPr="00363E8D">
              <w:rPr>
                <w:sz w:val="18"/>
                <w:szCs w:val="18"/>
                <w:lang w:val="fr-FR"/>
              </w:rPr>
              <w:t>L</w:t>
            </w:r>
            <w:r>
              <w:rPr>
                <w:sz w:val="18"/>
                <w:szCs w:val="18"/>
                <w:lang w:val="fr-FR"/>
              </w:rPr>
              <w:t xml:space="preserve">e </w:t>
            </w:r>
            <w:r w:rsidRPr="00363E8D">
              <w:rPr>
                <w:sz w:val="18"/>
                <w:szCs w:val="18"/>
                <w:lang w:val="fr-FR"/>
              </w:rPr>
              <w:t xml:space="preserve">Sénégal offre un exemple intéressant </w:t>
            </w:r>
            <w:r>
              <w:rPr>
                <w:sz w:val="18"/>
                <w:szCs w:val="18"/>
                <w:lang w:val="fr-FR"/>
              </w:rPr>
              <w:t>en termes de politique pro</w:t>
            </w:r>
            <w:r w:rsidRPr="00363E8D">
              <w:rPr>
                <w:sz w:val="18"/>
                <w:szCs w:val="18"/>
                <w:lang w:val="fr-FR"/>
              </w:rPr>
              <w:t xml:space="preserve">active et ambitieuse </w:t>
            </w:r>
            <w:r>
              <w:rPr>
                <w:sz w:val="18"/>
                <w:szCs w:val="18"/>
                <w:lang w:val="fr-FR"/>
              </w:rPr>
              <w:t xml:space="preserve">dans le domaine </w:t>
            </w:r>
            <w:r w:rsidRPr="00363E8D">
              <w:rPr>
                <w:sz w:val="18"/>
                <w:szCs w:val="18"/>
                <w:lang w:val="fr-FR"/>
              </w:rPr>
              <w:t xml:space="preserve">de la sécurité routière </w:t>
            </w:r>
            <w:r w:rsidR="008863A7">
              <w:rPr>
                <w:sz w:val="18"/>
                <w:szCs w:val="18"/>
                <w:lang w:val="fr-FR"/>
              </w:rPr>
              <w:t>en Afrique</w:t>
            </w:r>
            <w:r w:rsidRPr="00363E8D">
              <w:rPr>
                <w:sz w:val="18"/>
                <w:szCs w:val="18"/>
                <w:lang w:val="fr-FR"/>
              </w:rPr>
              <w:t xml:space="preserve">. L'an dernier, le gouvernement sénégalais a adopté une «matrice des actions et </w:t>
            </w:r>
            <w:r>
              <w:rPr>
                <w:sz w:val="18"/>
                <w:szCs w:val="18"/>
                <w:lang w:val="fr-FR"/>
              </w:rPr>
              <w:t>de</w:t>
            </w:r>
            <w:r w:rsidR="008863A7">
              <w:rPr>
                <w:sz w:val="18"/>
                <w:szCs w:val="18"/>
                <w:lang w:val="fr-FR"/>
              </w:rPr>
              <w:t>s</w:t>
            </w:r>
            <w:r>
              <w:rPr>
                <w:sz w:val="18"/>
                <w:szCs w:val="18"/>
                <w:lang w:val="fr-FR"/>
              </w:rPr>
              <w:t xml:space="preserve"> mesures prioritaires de </w:t>
            </w:r>
            <w:r w:rsidRPr="00363E8D">
              <w:rPr>
                <w:sz w:val="18"/>
                <w:szCs w:val="18"/>
                <w:lang w:val="fr-FR"/>
              </w:rPr>
              <w:t>sécurité routière" comp</w:t>
            </w:r>
            <w:r>
              <w:rPr>
                <w:sz w:val="18"/>
                <w:szCs w:val="18"/>
                <w:lang w:val="fr-FR"/>
              </w:rPr>
              <w:t>lète et</w:t>
            </w:r>
            <w:r w:rsidRPr="00363E8D">
              <w:rPr>
                <w:sz w:val="18"/>
                <w:szCs w:val="18"/>
                <w:lang w:val="fr-FR"/>
              </w:rPr>
              <w:t xml:space="preserve"> structuré</w:t>
            </w:r>
            <w:r>
              <w:rPr>
                <w:sz w:val="18"/>
                <w:szCs w:val="18"/>
                <w:lang w:val="fr-FR"/>
              </w:rPr>
              <w:t>e</w:t>
            </w:r>
            <w:r w:rsidRPr="00363E8D">
              <w:rPr>
                <w:sz w:val="18"/>
                <w:szCs w:val="18"/>
                <w:lang w:val="fr-FR"/>
              </w:rPr>
              <w:t xml:space="preserve"> autour </w:t>
            </w:r>
            <w:r>
              <w:rPr>
                <w:sz w:val="18"/>
                <w:szCs w:val="18"/>
                <w:lang w:val="fr-FR"/>
              </w:rPr>
              <w:t xml:space="preserve">de </w:t>
            </w:r>
            <w:r w:rsidRPr="00363E8D">
              <w:rPr>
                <w:sz w:val="18"/>
                <w:szCs w:val="18"/>
                <w:lang w:val="fr-FR"/>
              </w:rPr>
              <w:t xml:space="preserve">9 priorités stratégiques. La </w:t>
            </w:r>
            <w:r>
              <w:rPr>
                <w:sz w:val="18"/>
                <w:szCs w:val="18"/>
                <w:lang w:val="fr-FR"/>
              </w:rPr>
              <w:t>matrice</w:t>
            </w:r>
            <w:r w:rsidRPr="00363E8D">
              <w:rPr>
                <w:sz w:val="18"/>
                <w:szCs w:val="18"/>
                <w:lang w:val="fr-FR"/>
              </w:rPr>
              <w:t xml:space="preserve"> vise à réduire le nombre global de décès et de blessés graves sur les routes du pays de 35% d'ici 10 ans. Au cours de cette session, les principales parties concernées </w:t>
            </w:r>
            <w:r>
              <w:rPr>
                <w:sz w:val="18"/>
                <w:szCs w:val="18"/>
                <w:lang w:val="fr-FR"/>
              </w:rPr>
              <w:t>pourront</w:t>
            </w:r>
            <w:r w:rsidRPr="00363E8D">
              <w:rPr>
                <w:sz w:val="18"/>
                <w:szCs w:val="18"/>
                <w:lang w:val="fr-FR"/>
              </w:rPr>
              <w:t xml:space="preserve"> partager des informations sur la mise en œuvre du projet, les résultats préliminaires, les prochaines étapes, et donner </w:t>
            </w:r>
            <w:r>
              <w:rPr>
                <w:sz w:val="18"/>
                <w:szCs w:val="18"/>
                <w:lang w:val="fr-FR"/>
              </w:rPr>
              <w:t>leurs</w:t>
            </w:r>
            <w:r w:rsidRPr="00363E8D">
              <w:rPr>
                <w:sz w:val="18"/>
                <w:szCs w:val="18"/>
                <w:lang w:val="fr-FR"/>
              </w:rPr>
              <w:t xml:space="preserve"> avis sur la possibilité de reproduire ce type de stratégie de sécurité routière dans </w:t>
            </w:r>
            <w:r>
              <w:rPr>
                <w:sz w:val="18"/>
                <w:szCs w:val="18"/>
                <w:lang w:val="fr-FR"/>
              </w:rPr>
              <w:t>d’</w:t>
            </w:r>
            <w:r w:rsidRPr="00363E8D">
              <w:rPr>
                <w:sz w:val="18"/>
                <w:szCs w:val="18"/>
                <w:lang w:val="fr-FR"/>
              </w:rPr>
              <w:t>autres pays africains.</w:t>
            </w:r>
          </w:p>
          <w:p w:rsidR="00781C4D" w:rsidRPr="00363E8D" w:rsidRDefault="00781C4D" w:rsidP="00924DF4">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1" w:type="pct"/>
          </w:tcPr>
          <w:p w:rsidR="005906BE" w:rsidRPr="00363E8D" w:rsidRDefault="005906BE" w:rsidP="00847E7F">
            <w:pPr>
              <w:contextualSpacing/>
              <w:rPr>
                <w:sz w:val="18"/>
                <w:szCs w:val="18"/>
                <w:lang w:val="fr-FR"/>
              </w:rPr>
            </w:pPr>
          </w:p>
        </w:tc>
        <w:tc>
          <w:tcPr>
            <w:tcW w:w="1710" w:type="pct"/>
          </w:tcPr>
          <w:p w:rsidR="005906BE" w:rsidRPr="00363E8D" w:rsidRDefault="005906BE" w:rsidP="00847E7F">
            <w:pPr>
              <w:contextualSpacing/>
              <w:rPr>
                <w:sz w:val="18"/>
                <w:szCs w:val="18"/>
                <w:lang w:val="fr-FR"/>
              </w:rPr>
            </w:pPr>
          </w:p>
        </w:tc>
      </w:tr>
    </w:tbl>
    <w:p w:rsidR="00781C4D" w:rsidRDefault="00781C4D" w:rsidP="000943D1">
      <w:pPr>
        <w:contextualSpacing/>
        <w:rPr>
          <w:b/>
          <w:sz w:val="18"/>
          <w:szCs w:val="18"/>
          <w:lang w:val="fr-FR"/>
        </w:rPr>
        <w:sectPr w:rsidR="00781C4D" w:rsidSect="00087517">
          <w:pgSz w:w="15840" w:h="12240" w:orient="landscape"/>
          <w:pgMar w:top="1440" w:right="1440" w:bottom="1440" w:left="144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2368"/>
        <w:gridCol w:w="4190"/>
        <w:gridCol w:w="422"/>
        <w:gridCol w:w="422"/>
        <w:gridCol w:w="422"/>
        <w:gridCol w:w="422"/>
        <w:gridCol w:w="424"/>
        <w:gridCol w:w="4506"/>
      </w:tblGrid>
      <w:tr w:rsidR="00320541" w:rsidRPr="007C077B" w:rsidTr="003A19AD">
        <w:tc>
          <w:tcPr>
            <w:tcW w:w="899" w:type="pct"/>
          </w:tcPr>
          <w:p w:rsidR="005906BE" w:rsidRPr="00AC2D89" w:rsidRDefault="00AC2D89" w:rsidP="000943D1">
            <w:pPr>
              <w:contextualSpacing/>
              <w:rPr>
                <w:b/>
                <w:sz w:val="18"/>
                <w:szCs w:val="18"/>
                <w:lang w:val="fr-FR"/>
              </w:rPr>
            </w:pPr>
            <w:r w:rsidRPr="00AC2D89">
              <w:rPr>
                <w:b/>
                <w:sz w:val="18"/>
                <w:szCs w:val="18"/>
                <w:lang w:val="fr-FR"/>
              </w:rPr>
              <w:lastRenderedPageBreak/>
              <w:t>Interve</w:t>
            </w:r>
            <w:r>
              <w:rPr>
                <w:b/>
                <w:sz w:val="18"/>
                <w:szCs w:val="18"/>
                <w:lang w:val="fr-FR"/>
              </w:rPr>
              <w:t>ntion de sécurisation de corridor en Zambie</w:t>
            </w:r>
          </w:p>
        </w:tc>
        <w:tc>
          <w:tcPr>
            <w:tcW w:w="1590" w:type="pct"/>
          </w:tcPr>
          <w:p w:rsidR="005906BE" w:rsidRDefault="000943D1" w:rsidP="00924DF4">
            <w:pPr>
              <w:contextualSpacing/>
              <w:rPr>
                <w:sz w:val="18"/>
                <w:szCs w:val="18"/>
                <w:lang w:val="fr-FR"/>
              </w:rPr>
            </w:pPr>
            <w:r w:rsidRPr="000943D1">
              <w:rPr>
                <w:sz w:val="18"/>
                <w:szCs w:val="18"/>
                <w:lang w:val="fr-FR"/>
              </w:rPr>
              <w:t xml:space="preserve">La Banque mondiale et le SSATP mènent une intervention </w:t>
            </w:r>
            <w:r>
              <w:rPr>
                <w:sz w:val="18"/>
                <w:szCs w:val="18"/>
                <w:lang w:val="fr-FR"/>
              </w:rPr>
              <w:t xml:space="preserve">pilote de sécurisation du corridor sur </w:t>
            </w:r>
            <w:r w:rsidRPr="000943D1">
              <w:rPr>
                <w:sz w:val="18"/>
                <w:szCs w:val="18"/>
                <w:lang w:val="fr-FR"/>
              </w:rPr>
              <w:t>la route Lusaka-Kabwe en Zambie, comme une tentative de répondre à la détérioration de la situation de la sécurité routière dans le pays. L'intervention engage une variété d'intervenants (agences gouvernementales nationales et locales, police zambienne, Société de la Croix-Rouge, etc</w:t>
            </w:r>
            <w:r w:rsidR="00363E8D">
              <w:rPr>
                <w:sz w:val="18"/>
                <w:szCs w:val="18"/>
                <w:lang w:val="fr-FR"/>
              </w:rPr>
              <w:t>.</w:t>
            </w:r>
            <w:r w:rsidRPr="000943D1">
              <w:rPr>
                <w:sz w:val="18"/>
                <w:szCs w:val="18"/>
                <w:lang w:val="fr-FR"/>
              </w:rPr>
              <w:t xml:space="preserve">) et </w:t>
            </w:r>
            <w:r>
              <w:rPr>
                <w:sz w:val="18"/>
                <w:szCs w:val="18"/>
                <w:lang w:val="fr-FR"/>
              </w:rPr>
              <w:t>couvre</w:t>
            </w:r>
            <w:r w:rsidRPr="000943D1">
              <w:rPr>
                <w:sz w:val="18"/>
                <w:szCs w:val="18"/>
                <w:lang w:val="fr-FR"/>
              </w:rPr>
              <w:t xml:space="preserve"> des domaines tels que l'ingénierie de la sécurité, </w:t>
            </w:r>
            <w:r>
              <w:rPr>
                <w:sz w:val="18"/>
                <w:szCs w:val="18"/>
                <w:lang w:val="fr-FR"/>
              </w:rPr>
              <w:t xml:space="preserve">la </w:t>
            </w:r>
            <w:r w:rsidRPr="000943D1">
              <w:rPr>
                <w:sz w:val="18"/>
                <w:szCs w:val="18"/>
                <w:lang w:val="fr-FR"/>
              </w:rPr>
              <w:t xml:space="preserve">police de la circulation, la sensibilisation du public, tout en accordant une attention particulière </w:t>
            </w:r>
            <w:r>
              <w:rPr>
                <w:sz w:val="18"/>
                <w:szCs w:val="18"/>
                <w:lang w:val="fr-FR"/>
              </w:rPr>
              <w:t>aux services de réponse aux accidents</w:t>
            </w:r>
            <w:r w:rsidRPr="000943D1">
              <w:rPr>
                <w:sz w:val="18"/>
                <w:szCs w:val="18"/>
                <w:lang w:val="fr-FR"/>
              </w:rPr>
              <w:t>.</w:t>
            </w:r>
          </w:p>
          <w:p w:rsidR="00781C4D" w:rsidRPr="00363E8D" w:rsidRDefault="00781C4D" w:rsidP="00924DF4">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0" w:type="pct"/>
          </w:tcPr>
          <w:p w:rsidR="005906BE" w:rsidRPr="00363E8D" w:rsidRDefault="005906BE" w:rsidP="00847E7F">
            <w:pPr>
              <w:contextualSpacing/>
              <w:rPr>
                <w:sz w:val="18"/>
                <w:szCs w:val="18"/>
                <w:lang w:val="fr-FR"/>
              </w:rPr>
            </w:pPr>
          </w:p>
        </w:tc>
        <w:tc>
          <w:tcPr>
            <w:tcW w:w="161" w:type="pct"/>
          </w:tcPr>
          <w:p w:rsidR="005906BE" w:rsidRPr="00363E8D" w:rsidRDefault="005906BE" w:rsidP="00847E7F">
            <w:pPr>
              <w:contextualSpacing/>
              <w:rPr>
                <w:sz w:val="18"/>
                <w:szCs w:val="18"/>
                <w:lang w:val="fr-FR"/>
              </w:rPr>
            </w:pPr>
          </w:p>
        </w:tc>
        <w:tc>
          <w:tcPr>
            <w:tcW w:w="1710" w:type="pct"/>
          </w:tcPr>
          <w:p w:rsidR="005906BE" w:rsidRPr="00363E8D" w:rsidRDefault="005906BE" w:rsidP="00847E7F">
            <w:pPr>
              <w:contextualSpacing/>
              <w:rPr>
                <w:sz w:val="18"/>
                <w:szCs w:val="18"/>
                <w:lang w:val="fr-FR"/>
              </w:rPr>
            </w:pPr>
          </w:p>
        </w:tc>
      </w:tr>
      <w:tr w:rsidR="00320541" w:rsidRPr="007C077B" w:rsidTr="003A19AD">
        <w:tc>
          <w:tcPr>
            <w:tcW w:w="899" w:type="pct"/>
          </w:tcPr>
          <w:p w:rsidR="005906BE" w:rsidRPr="00AC2D89" w:rsidRDefault="00AC2D89" w:rsidP="00AC2D89">
            <w:pPr>
              <w:contextualSpacing/>
              <w:rPr>
                <w:sz w:val="18"/>
                <w:szCs w:val="18"/>
                <w:lang w:val="fr-FR"/>
              </w:rPr>
            </w:pPr>
            <w:r w:rsidRPr="00AC2D89">
              <w:rPr>
                <w:b/>
                <w:sz w:val="18"/>
                <w:szCs w:val="18"/>
                <w:lang w:val="fr-FR"/>
              </w:rPr>
              <w:t>Présentation</w:t>
            </w:r>
            <w:r w:rsidR="005906BE" w:rsidRPr="00AC2D89">
              <w:rPr>
                <w:b/>
                <w:sz w:val="18"/>
                <w:szCs w:val="18"/>
                <w:lang w:val="fr-FR"/>
              </w:rPr>
              <w:t xml:space="preserve"> </w:t>
            </w:r>
            <w:r w:rsidRPr="00AC2D89">
              <w:rPr>
                <w:b/>
                <w:sz w:val="18"/>
                <w:szCs w:val="18"/>
                <w:lang w:val="fr-FR"/>
              </w:rPr>
              <w:t>des projets de l’</w:t>
            </w:r>
            <w:r w:rsidR="005906BE" w:rsidRPr="00AC2D89">
              <w:rPr>
                <w:b/>
                <w:sz w:val="18"/>
                <w:szCs w:val="18"/>
                <w:lang w:val="fr-FR"/>
              </w:rPr>
              <w:t xml:space="preserve">iRap </w:t>
            </w:r>
          </w:p>
        </w:tc>
        <w:tc>
          <w:tcPr>
            <w:tcW w:w="1590" w:type="pct"/>
          </w:tcPr>
          <w:p w:rsidR="005906BE" w:rsidRDefault="00AC2D89" w:rsidP="00D94908">
            <w:pPr>
              <w:contextualSpacing/>
              <w:rPr>
                <w:sz w:val="18"/>
                <w:szCs w:val="18"/>
                <w:lang w:val="fr-FR"/>
              </w:rPr>
            </w:pPr>
            <w:r w:rsidRPr="00AC2D89">
              <w:rPr>
                <w:sz w:val="18"/>
                <w:szCs w:val="18"/>
                <w:lang w:val="fr-FR"/>
              </w:rPr>
              <w:t>Le</w:t>
            </w:r>
            <w:r w:rsidR="005906BE" w:rsidRPr="00AC2D89">
              <w:rPr>
                <w:sz w:val="18"/>
                <w:szCs w:val="18"/>
                <w:lang w:val="fr-FR"/>
              </w:rPr>
              <w:t xml:space="preserve"> </w:t>
            </w:r>
            <w:r w:rsidRPr="00AC2D89">
              <w:rPr>
                <w:sz w:val="18"/>
                <w:szCs w:val="18"/>
                <w:lang w:val="fr-FR"/>
              </w:rPr>
              <w:t xml:space="preserve">Programme international d'évaluation des routes </w:t>
            </w:r>
            <w:r w:rsidR="005906BE" w:rsidRPr="00AC2D89">
              <w:rPr>
                <w:sz w:val="18"/>
                <w:szCs w:val="18"/>
                <w:lang w:val="fr-FR"/>
              </w:rPr>
              <w:t xml:space="preserve">(iRap) </w:t>
            </w:r>
            <w:r w:rsidRPr="00AC2D89">
              <w:rPr>
                <w:sz w:val="18"/>
                <w:szCs w:val="18"/>
                <w:lang w:val="fr-FR"/>
              </w:rPr>
              <w:t xml:space="preserve">est </w:t>
            </w:r>
            <w:r>
              <w:rPr>
                <w:sz w:val="18"/>
                <w:szCs w:val="18"/>
                <w:lang w:val="fr-FR"/>
              </w:rPr>
              <w:t xml:space="preserve">une association </w:t>
            </w:r>
            <w:r w:rsidRPr="00AC2D89">
              <w:rPr>
                <w:sz w:val="18"/>
                <w:szCs w:val="18"/>
                <w:lang w:val="fr-FR"/>
              </w:rPr>
              <w:t>qui tra</w:t>
            </w:r>
            <w:r>
              <w:rPr>
                <w:sz w:val="18"/>
                <w:szCs w:val="18"/>
                <w:lang w:val="fr-FR"/>
              </w:rPr>
              <w:t xml:space="preserve">vaille dans le secteur </w:t>
            </w:r>
            <w:r w:rsidRPr="00AC2D89">
              <w:rPr>
                <w:sz w:val="18"/>
                <w:szCs w:val="18"/>
                <w:lang w:val="fr-FR"/>
              </w:rPr>
              <w:t xml:space="preserve">de la sécurité routière et fait partie de </w:t>
            </w:r>
            <w:r w:rsidR="00954192">
              <w:rPr>
                <w:sz w:val="18"/>
                <w:szCs w:val="18"/>
                <w:lang w:val="fr-FR"/>
              </w:rPr>
              <w:t>l’initiative de</w:t>
            </w:r>
            <w:r w:rsidRPr="00AC2D89">
              <w:rPr>
                <w:sz w:val="18"/>
                <w:szCs w:val="18"/>
                <w:lang w:val="fr-FR"/>
              </w:rPr>
              <w:t xml:space="preserve"> collaboration sur la sécurité routière des Nations Unies.</w:t>
            </w:r>
            <w:r>
              <w:rPr>
                <w:sz w:val="18"/>
                <w:szCs w:val="18"/>
                <w:lang w:val="fr-FR"/>
              </w:rPr>
              <w:t xml:space="preserve"> </w:t>
            </w:r>
            <w:r w:rsidRPr="00AC2D89">
              <w:rPr>
                <w:sz w:val="18"/>
                <w:szCs w:val="18"/>
                <w:lang w:val="fr-FR"/>
              </w:rPr>
              <w:t xml:space="preserve">Les principales activités de </w:t>
            </w:r>
            <w:r>
              <w:rPr>
                <w:sz w:val="18"/>
                <w:szCs w:val="18"/>
                <w:lang w:val="fr-FR"/>
              </w:rPr>
              <w:t>l’association</w:t>
            </w:r>
            <w:r w:rsidRPr="00AC2D89">
              <w:rPr>
                <w:sz w:val="18"/>
                <w:szCs w:val="18"/>
                <w:lang w:val="fr-FR"/>
              </w:rPr>
              <w:t xml:space="preserve"> comprennent l'inspection des routes à haut risque et le développement </w:t>
            </w:r>
            <w:r w:rsidR="00D94908">
              <w:rPr>
                <w:sz w:val="18"/>
                <w:szCs w:val="18"/>
                <w:lang w:val="fr-FR"/>
              </w:rPr>
              <w:t>d’une notation des risques</w:t>
            </w:r>
            <w:r>
              <w:rPr>
                <w:sz w:val="18"/>
                <w:szCs w:val="18"/>
                <w:lang w:val="fr-FR"/>
              </w:rPr>
              <w:t xml:space="preserve"> </w:t>
            </w:r>
            <w:r w:rsidRPr="00AC2D89">
              <w:rPr>
                <w:sz w:val="18"/>
                <w:szCs w:val="18"/>
                <w:lang w:val="fr-FR"/>
              </w:rPr>
              <w:t xml:space="preserve">et </w:t>
            </w:r>
            <w:r>
              <w:rPr>
                <w:sz w:val="18"/>
                <w:szCs w:val="18"/>
                <w:lang w:val="fr-FR"/>
              </w:rPr>
              <w:t xml:space="preserve">de </w:t>
            </w:r>
            <w:r w:rsidR="00D94908">
              <w:rPr>
                <w:sz w:val="18"/>
                <w:szCs w:val="18"/>
                <w:lang w:val="fr-FR"/>
              </w:rPr>
              <w:t>p</w:t>
            </w:r>
            <w:r w:rsidRPr="00AC2D89">
              <w:rPr>
                <w:sz w:val="18"/>
                <w:szCs w:val="18"/>
                <w:lang w:val="fr-FR"/>
              </w:rPr>
              <w:t>lans d'investissement</w:t>
            </w:r>
            <w:r>
              <w:rPr>
                <w:sz w:val="18"/>
                <w:szCs w:val="18"/>
                <w:lang w:val="fr-FR"/>
              </w:rPr>
              <w:t xml:space="preserve"> pour des routes plus sûres</w:t>
            </w:r>
            <w:r w:rsidRPr="00AC2D89">
              <w:rPr>
                <w:sz w:val="18"/>
                <w:szCs w:val="18"/>
                <w:lang w:val="fr-FR"/>
              </w:rPr>
              <w:t>, la formation et le renforcement des capacités</w:t>
            </w:r>
            <w:r>
              <w:rPr>
                <w:sz w:val="18"/>
                <w:szCs w:val="18"/>
                <w:lang w:val="fr-FR"/>
              </w:rPr>
              <w:t>, et le suivi de la</w:t>
            </w:r>
            <w:r w:rsidRPr="00AC2D89">
              <w:rPr>
                <w:sz w:val="18"/>
                <w:szCs w:val="18"/>
                <w:lang w:val="fr-FR"/>
              </w:rPr>
              <w:t xml:space="preserve"> performance </w:t>
            </w:r>
            <w:r>
              <w:rPr>
                <w:sz w:val="18"/>
                <w:szCs w:val="18"/>
                <w:lang w:val="fr-FR"/>
              </w:rPr>
              <w:t>d</w:t>
            </w:r>
            <w:r w:rsidRPr="00AC2D89">
              <w:rPr>
                <w:sz w:val="18"/>
                <w:szCs w:val="18"/>
                <w:lang w:val="fr-FR"/>
              </w:rPr>
              <w:t>es pays partenaires</w:t>
            </w:r>
            <w:r>
              <w:rPr>
                <w:sz w:val="18"/>
                <w:szCs w:val="18"/>
                <w:lang w:val="fr-FR"/>
              </w:rPr>
              <w:t xml:space="preserve"> en matière de sécurité routière</w:t>
            </w:r>
            <w:r w:rsidRPr="00AC2D89">
              <w:rPr>
                <w:sz w:val="18"/>
                <w:szCs w:val="18"/>
                <w:lang w:val="fr-FR"/>
              </w:rPr>
              <w:t xml:space="preserve">. </w:t>
            </w:r>
            <w:r>
              <w:rPr>
                <w:sz w:val="18"/>
                <w:szCs w:val="18"/>
                <w:lang w:val="fr-FR"/>
              </w:rPr>
              <w:t>L’</w:t>
            </w:r>
            <w:r w:rsidRPr="00AC2D89">
              <w:rPr>
                <w:sz w:val="18"/>
                <w:szCs w:val="18"/>
                <w:lang w:val="fr-FR"/>
              </w:rPr>
              <w:t xml:space="preserve">iRap partagera son expérience </w:t>
            </w:r>
            <w:r>
              <w:rPr>
                <w:sz w:val="18"/>
                <w:szCs w:val="18"/>
                <w:lang w:val="fr-FR"/>
              </w:rPr>
              <w:t>opérationnelle</w:t>
            </w:r>
            <w:r w:rsidRPr="00AC2D89">
              <w:rPr>
                <w:sz w:val="18"/>
                <w:szCs w:val="18"/>
                <w:lang w:val="fr-FR"/>
              </w:rPr>
              <w:t xml:space="preserve"> dans six pays africains (Egypte, Kenya, Nigeria, Afrique du Sud, Tanzanie et Ouganda).</w:t>
            </w:r>
          </w:p>
          <w:p w:rsidR="00781C4D" w:rsidRPr="00AC2D89" w:rsidRDefault="00781C4D" w:rsidP="00D94908">
            <w:pPr>
              <w:contextualSpacing/>
              <w:rPr>
                <w:sz w:val="18"/>
                <w:szCs w:val="18"/>
                <w:lang w:val="fr-FR"/>
              </w:rPr>
            </w:pPr>
          </w:p>
        </w:tc>
        <w:tc>
          <w:tcPr>
            <w:tcW w:w="160" w:type="pct"/>
          </w:tcPr>
          <w:p w:rsidR="005906BE" w:rsidRPr="00AC2D89" w:rsidRDefault="005906BE" w:rsidP="00847E7F">
            <w:pPr>
              <w:contextualSpacing/>
              <w:rPr>
                <w:sz w:val="18"/>
                <w:szCs w:val="18"/>
                <w:lang w:val="fr-FR"/>
              </w:rPr>
            </w:pPr>
          </w:p>
        </w:tc>
        <w:tc>
          <w:tcPr>
            <w:tcW w:w="160" w:type="pct"/>
          </w:tcPr>
          <w:p w:rsidR="005906BE" w:rsidRPr="00AC2D89" w:rsidRDefault="005906BE" w:rsidP="00847E7F">
            <w:pPr>
              <w:contextualSpacing/>
              <w:rPr>
                <w:sz w:val="18"/>
                <w:szCs w:val="18"/>
                <w:lang w:val="fr-FR"/>
              </w:rPr>
            </w:pPr>
          </w:p>
        </w:tc>
        <w:tc>
          <w:tcPr>
            <w:tcW w:w="160" w:type="pct"/>
          </w:tcPr>
          <w:p w:rsidR="005906BE" w:rsidRPr="00AC2D89" w:rsidRDefault="005906BE" w:rsidP="00847E7F">
            <w:pPr>
              <w:contextualSpacing/>
              <w:rPr>
                <w:sz w:val="18"/>
                <w:szCs w:val="18"/>
                <w:lang w:val="fr-FR"/>
              </w:rPr>
            </w:pPr>
          </w:p>
        </w:tc>
        <w:tc>
          <w:tcPr>
            <w:tcW w:w="160" w:type="pct"/>
          </w:tcPr>
          <w:p w:rsidR="005906BE" w:rsidRPr="00AC2D89" w:rsidRDefault="005906BE" w:rsidP="00847E7F">
            <w:pPr>
              <w:contextualSpacing/>
              <w:rPr>
                <w:sz w:val="18"/>
                <w:szCs w:val="18"/>
                <w:lang w:val="fr-FR"/>
              </w:rPr>
            </w:pPr>
          </w:p>
        </w:tc>
        <w:tc>
          <w:tcPr>
            <w:tcW w:w="161" w:type="pct"/>
          </w:tcPr>
          <w:p w:rsidR="005906BE" w:rsidRPr="00AC2D89" w:rsidRDefault="005906BE" w:rsidP="00847E7F">
            <w:pPr>
              <w:contextualSpacing/>
              <w:rPr>
                <w:sz w:val="18"/>
                <w:szCs w:val="18"/>
                <w:lang w:val="fr-FR"/>
              </w:rPr>
            </w:pPr>
          </w:p>
        </w:tc>
        <w:tc>
          <w:tcPr>
            <w:tcW w:w="1710" w:type="pct"/>
          </w:tcPr>
          <w:p w:rsidR="005906BE" w:rsidRPr="00AC2D89" w:rsidRDefault="005906BE" w:rsidP="00847E7F">
            <w:pPr>
              <w:contextualSpacing/>
              <w:rPr>
                <w:sz w:val="18"/>
                <w:szCs w:val="18"/>
                <w:lang w:val="fr-FR"/>
              </w:rPr>
            </w:pPr>
          </w:p>
        </w:tc>
      </w:tr>
    </w:tbl>
    <w:p w:rsidR="005906BE" w:rsidRPr="00AC2D89" w:rsidRDefault="005906BE" w:rsidP="005906BE">
      <w:pPr>
        <w:spacing w:after="0" w:line="240" w:lineRule="auto"/>
        <w:rPr>
          <w:lang w:val="fr-FR"/>
        </w:rPr>
      </w:pPr>
    </w:p>
    <w:p w:rsidR="00781C4D" w:rsidRDefault="00781C4D" w:rsidP="00D94908">
      <w:pPr>
        <w:rPr>
          <w:b/>
          <w:i/>
          <w:smallCaps/>
          <w:lang w:val="fr-FR"/>
        </w:rPr>
        <w:sectPr w:rsidR="00781C4D" w:rsidSect="00087517">
          <w:pgSz w:w="15840" w:h="12240" w:orient="landscape"/>
          <w:pgMar w:top="1440" w:right="1440" w:bottom="1440" w:left="1440" w:header="720" w:footer="720" w:gutter="0"/>
          <w:cols w:space="720"/>
          <w:docGrid w:linePitch="360"/>
        </w:sectPr>
      </w:pPr>
    </w:p>
    <w:p w:rsidR="002318C6" w:rsidRPr="008E353C" w:rsidRDefault="00541A92" w:rsidP="00D94908">
      <w:pPr>
        <w:rPr>
          <w:b/>
          <w:smallCaps/>
          <w:sz w:val="24"/>
          <w:szCs w:val="24"/>
          <w:lang w:val="fr-FR"/>
        </w:rPr>
      </w:pPr>
      <w:r w:rsidRPr="008E353C">
        <w:rPr>
          <w:b/>
          <w:smallCaps/>
          <w:sz w:val="24"/>
          <w:szCs w:val="24"/>
          <w:lang w:val="fr-FR"/>
        </w:rPr>
        <w:lastRenderedPageBreak/>
        <w:t>Suggestions de sessions supplémentaires (facultatif):</w:t>
      </w:r>
    </w:p>
    <w:p w:rsidR="002318C6" w:rsidRDefault="005E796C" w:rsidP="008E353C">
      <w:pPr>
        <w:spacing w:line="240" w:lineRule="auto"/>
        <w:rPr>
          <w:lang w:val="fr-FR"/>
        </w:rPr>
      </w:pPr>
      <w:r>
        <w:rPr>
          <w:lang w:val="fr-FR"/>
        </w:rPr>
        <w:t xml:space="preserve">Merci d‘indiquer ci-dessous </w:t>
      </w:r>
      <w:r w:rsidRPr="005E796C">
        <w:rPr>
          <w:lang w:val="fr-FR"/>
        </w:rPr>
        <w:t>d'autres suggesti</w:t>
      </w:r>
      <w:r>
        <w:rPr>
          <w:lang w:val="fr-FR"/>
        </w:rPr>
        <w:t xml:space="preserve">ons </w:t>
      </w:r>
      <w:r w:rsidRPr="005E796C">
        <w:rPr>
          <w:lang w:val="fr-FR"/>
        </w:rPr>
        <w:t xml:space="preserve">de séances supplémentaires. Assurez-vous d'inclure une brève description du sujet proposé et </w:t>
      </w:r>
      <w:r>
        <w:rPr>
          <w:lang w:val="fr-FR"/>
        </w:rPr>
        <w:t>d’</w:t>
      </w:r>
      <w:r w:rsidRPr="005E796C">
        <w:rPr>
          <w:lang w:val="fr-FR"/>
        </w:rPr>
        <w:t xml:space="preserve">expliquer son importance / </w:t>
      </w:r>
      <w:r>
        <w:rPr>
          <w:lang w:val="fr-FR"/>
        </w:rPr>
        <w:t xml:space="preserve">sa </w:t>
      </w:r>
      <w:r w:rsidRPr="005E796C">
        <w:rPr>
          <w:lang w:val="fr-FR"/>
        </w:rPr>
        <w:t xml:space="preserve">pertinence </w:t>
      </w:r>
      <w:r>
        <w:rPr>
          <w:lang w:val="fr-FR"/>
        </w:rPr>
        <w:t>pour l</w:t>
      </w:r>
      <w:r w:rsidRPr="005E796C">
        <w:rPr>
          <w:lang w:val="fr-FR"/>
        </w:rPr>
        <w:t xml:space="preserve">es questions </w:t>
      </w:r>
      <w:r>
        <w:rPr>
          <w:lang w:val="fr-FR"/>
        </w:rPr>
        <w:t xml:space="preserve">actuelles </w:t>
      </w:r>
      <w:r w:rsidRPr="005E796C">
        <w:rPr>
          <w:lang w:val="fr-FR"/>
        </w:rPr>
        <w:t>de</w:t>
      </w:r>
      <w:r w:rsidR="00D90CEA">
        <w:rPr>
          <w:lang w:val="fr-FR"/>
        </w:rPr>
        <w:t>s</w:t>
      </w:r>
      <w:r w:rsidRPr="005E796C">
        <w:rPr>
          <w:lang w:val="fr-FR"/>
        </w:rPr>
        <w:t xml:space="preserve"> politique</w:t>
      </w:r>
      <w:r w:rsidR="00D90CEA">
        <w:rPr>
          <w:lang w:val="fr-FR"/>
        </w:rPr>
        <w:t>s</w:t>
      </w:r>
      <w:r w:rsidRPr="005E796C">
        <w:rPr>
          <w:lang w:val="fr-FR"/>
        </w:rPr>
        <w:t xml:space="preserve"> de transport en Afrique.</w:t>
      </w:r>
    </w:p>
    <w:tbl>
      <w:tblPr>
        <w:tblStyle w:val="TableGrid"/>
        <w:tblW w:w="0" w:type="auto"/>
        <w:tblLook w:val="04A0" w:firstRow="1" w:lastRow="0" w:firstColumn="1" w:lastColumn="0" w:noHBand="0" w:noVBand="1"/>
      </w:tblPr>
      <w:tblGrid>
        <w:gridCol w:w="434"/>
        <w:gridCol w:w="5164"/>
        <w:gridCol w:w="5220"/>
        <w:gridCol w:w="2340"/>
      </w:tblGrid>
      <w:tr w:rsidR="00FB48D7" w:rsidRPr="007C077B" w:rsidTr="00781C4D">
        <w:tc>
          <w:tcPr>
            <w:tcW w:w="434" w:type="dxa"/>
            <w:shd w:val="clear" w:color="auto" w:fill="E5DFEC" w:themeFill="accent4" w:themeFillTint="33"/>
            <w:vAlign w:val="center"/>
          </w:tcPr>
          <w:p w:rsidR="00FB48D7" w:rsidRPr="005E796C" w:rsidRDefault="00FB48D7" w:rsidP="00763052">
            <w:pPr>
              <w:jc w:val="center"/>
              <w:rPr>
                <w:b/>
                <w:i/>
                <w:lang w:val="fr-FR"/>
              </w:rPr>
            </w:pPr>
          </w:p>
        </w:tc>
        <w:tc>
          <w:tcPr>
            <w:tcW w:w="5164" w:type="dxa"/>
            <w:shd w:val="clear" w:color="auto" w:fill="E5DFEC" w:themeFill="accent4" w:themeFillTint="33"/>
            <w:vAlign w:val="center"/>
          </w:tcPr>
          <w:p w:rsidR="00FB48D7" w:rsidRPr="00541A92" w:rsidRDefault="00541A92" w:rsidP="00541A92">
            <w:pPr>
              <w:jc w:val="center"/>
              <w:rPr>
                <w:b/>
                <w:i/>
                <w:lang w:val="fr-FR"/>
              </w:rPr>
            </w:pPr>
            <w:r w:rsidRPr="00541A92">
              <w:rPr>
                <w:b/>
                <w:i/>
                <w:lang w:val="fr-FR"/>
              </w:rPr>
              <w:t xml:space="preserve">Titre et description </w:t>
            </w:r>
            <w:r>
              <w:rPr>
                <w:b/>
                <w:i/>
                <w:lang w:val="fr-FR"/>
              </w:rPr>
              <w:t>de la session suggérée</w:t>
            </w:r>
          </w:p>
        </w:tc>
        <w:tc>
          <w:tcPr>
            <w:tcW w:w="5220" w:type="dxa"/>
            <w:shd w:val="clear" w:color="auto" w:fill="E5DFEC" w:themeFill="accent4" w:themeFillTint="33"/>
            <w:vAlign w:val="center"/>
          </w:tcPr>
          <w:p w:rsidR="00FB48D7" w:rsidRDefault="00541A92" w:rsidP="008863A7">
            <w:pPr>
              <w:jc w:val="center"/>
              <w:rPr>
                <w:b/>
                <w:i/>
                <w:lang w:val="fr-FR"/>
              </w:rPr>
            </w:pPr>
            <w:r>
              <w:rPr>
                <w:b/>
                <w:i/>
                <w:lang w:val="fr-FR"/>
              </w:rPr>
              <w:t>Argumentaire</w:t>
            </w:r>
            <w:r w:rsidRPr="00541A92">
              <w:rPr>
                <w:b/>
                <w:i/>
                <w:lang w:val="fr-FR"/>
              </w:rPr>
              <w:t xml:space="preserve">: pourquoi </w:t>
            </w:r>
            <w:r>
              <w:rPr>
                <w:b/>
                <w:i/>
                <w:lang w:val="fr-FR"/>
              </w:rPr>
              <w:t xml:space="preserve">ce sujet est-il important </w:t>
            </w:r>
            <w:r w:rsidRPr="00541A92">
              <w:rPr>
                <w:b/>
                <w:i/>
                <w:lang w:val="fr-FR"/>
              </w:rPr>
              <w:t xml:space="preserve">/ pertinent pour les questions </w:t>
            </w:r>
            <w:r w:rsidR="003D334F">
              <w:rPr>
                <w:b/>
                <w:i/>
                <w:lang w:val="fr-FR"/>
              </w:rPr>
              <w:t xml:space="preserve">actuelles </w:t>
            </w:r>
            <w:r w:rsidRPr="00541A92">
              <w:rPr>
                <w:b/>
                <w:i/>
                <w:lang w:val="fr-FR"/>
              </w:rPr>
              <w:t>de</w:t>
            </w:r>
            <w:r w:rsidR="008863A7">
              <w:rPr>
                <w:b/>
                <w:i/>
                <w:lang w:val="fr-FR"/>
              </w:rPr>
              <w:t>s</w:t>
            </w:r>
            <w:r w:rsidRPr="00541A92">
              <w:rPr>
                <w:b/>
                <w:i/>
                <w:lang w:val="fr-FR"/>
              </w:rPr>
              <w:t xml:space="preserve"> politique</w:t>
            </w:r>
            <w:r w:rsidR="008863A7">
              <w:rPr>
                <w:b/>
                <w:i/>
                <w:lang w:val="fr-FR"/>
              </w:rPr>
              <w:t xml:space="preserve">s de transport </w:t>
            </w:r>
            <w:r w:rsidRPr="00541A92">
              <w:rPr>
                <w:b/>
                <w:i/>
                <w:lang w:val="fr-FR"/>
              </w:rPr>
              <w:t>en Afrique?</w:t>
            </w:r>
          </w:p>
          <w:p w:rsidR="00781C4D" w:rsidRPr="003D334F" w:rsidRDefault="00781C4D" w:rsidP="008863A7">
            <w:pPr>
              <w:jc w:val="center"/>
              <w:rPr>
                <w:b/>
                <w:i/>
                <w:lang w:val="fr-FR"/>
              </w:rPr>
            </w:pPr>
          </w:p>
        </w:tc>
        <w:tc>
          <w:tcPr>
            <w:tcW w:w="2340" w:type="dxa"/>
            <w:shd w:val="clear" w:color="auto" w:fill="E5DFEC" w:themeFill="accent4" w:themeFillTint="33"/>
          </w:tcPr>
          <w:p w:rsidR="00FB48D7" w:rsidRPr="003D334F" w:rsidRDefault="003D334F" w:rsidP="003D334F">
            <w:pPr>
              <w:jc w:val="center"/>
              <w:rPr>
                <w:b/>
                <w:i/>
                <w:lang w:val="fr-FR"/>
              </w:rPr>
            </w:pPr>
            <w:r>
              <w:rPr>
                <w:b/>
                <w:i/>
                <w:lang w:val="fr-FR"/>
              </w:rPr>
              <w:t>Souhaitez-vous</w:t>
            </w:r>
            <w:r w:rsidRPr="003D334F">
              <w:rPr>
                <w:b/>
                <w:i/>
                <w:lang w:val="fr-FR"/>
              </w:rPr>
              <w:t xml:space="preserve"> faire une présentation sur ce sujet</w:t>
            </w:r>
            <w:r>
              <w:rPr>
                <w:b/>
                <w:i/>
                <w:lang w:val="fr-FR"/>
              </w:rPr>
              <w:t> ?</w:t>
            </w:r>
          </w:p>
        </w:tc>
      </w:tr>
      <w:tr w:rsidR="00FB48D7" w:rsidTr="00A640E7">
        <w:tc>
          <w:tcPr>
            <w:tcW w:w="434" w:type="dxa"/>
          </w:tcPr>
          <w:p w:rsidR="00FB48D7" w:rsidRPr="00320541" w:rsidRDefault="00FB48D7" w:rsidP="005906BE">
            <w:pPr>
              <w:rPr>
                <w:b/>
              </w:rPr>
            </w:pPr>
            <w:r w:rsidRPr="00320541">
              <w:rPr>
                <w:b/>
              </w:rPr>
              <w:t>1.</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r w:rsidR="00FB48D7" w:rsidTr="00A640E7">
        <w:tc>
          <w:tcPr>
            <w:tcW w:w="434" w:type="dxa"/>
          </w:tcPr>
          <w:p w:rsidR="00FB48D7" w:rsidRPr="00320541" w:rsidRDefault="00FB48D7" w:rsidP="005906BE">
            <w:pPr>
              <w:rPr>
                <w:b/>
              </w:rPr>
            </w:pPr>
            <w:r w:rsidRPr="00320541">
              <w:rPr>
                <w:b/>
              </w:rPr>
              <w:t>2.</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r w:rsidR="00FB48D7" w:rsidTr="00A640E7">
        <w:tc>
          <w:tcPr>
            <w:tcW w:w="434" w:type="dxa"/>
          </w:tcPr>
          <w:p w:rsidR="00FB48D7" w:rsidRPr="00320541" w:rsidRDefault="00FB48D7" w:rsidP="005906BE">
            <w:pPr>
              <w:rPr>
                <w:b/>
              </w:rPr>
            </w:pPr>
            <w:r w:rsidRPr="00320541">
              <w:rPr>
                <w:b/>
              </w:rPr>
              <w:t>3.</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bl>
    <w:p w:rsidR="008C43DE" w:rsidRPr="008E353C" w:rsidRDefault="008C43DE" w:rsidP="008E353C">
      <w:pPr>
        <w:spacing w:before="200" w:line="240" w:lineRule="auto"/>
        <w:rPr>
          <w:b/>
          <w:i/>
          <w:smallCaps/>
        </w:rPr>
      </w:pPr>
      <w:r w:rsidRPr="008C43DE">
        <w:rPr>
          <w:b/>
          <w:i/>
          <w:smallCaps/>
        </w:rPr>
        <w:t>Participation</w:t>
      </w:r>
    </w:p>
    <w:p w:rsidR="00541A92" w:rsidRDefault="00541A92" w:rsidP="005906BE">
      <w:pPr>
        <w:spacing w:after="0" w:line="240" w:lineRule="auto"/>
        <w:rPr>
          <w:lang w:val="fr-FR"/>
        </w:rPr>
      </w:pPr>
      <w:r>
        <w:rPr>
          <w:lang w:val="fr-FR"/>
        </w:rPr>
        <w:t xml:space="preserve">Merci de bien vouloir nous indiquer </w:t>
      </w:r>
      <w:r w:rsidRPr="00541A92">
        <w:rPr>
          <w:lang w:val="fr-FR"/>
        </w:rPr>
        <w:t xml:space="preserve">combien de représentants de votre institution / organisation </w:t>
      </w:r>
      <w:r w:rsidR="008863A7">
        <w:rPr>
          <w:lang w:val="fr-FR"/>
        </w:rPr>
        <w:t xml:space="preserve">vous </w:t>
      </w:r>
      <w:r>
        <w:rPr>
          <w:lang w:val="fr-FR"/>
        </w:rPr>
        <w:t>souhaitez</w:t>
      </w:r>
      <w:r w:rsidR="008863A7">
        <w:rPr>
          <w:lang w:val="fr-FR"/>
        </w:rPr>
        <w:t xml:space="preserve"> voire </w:t>
      </w:r>
      <w:r>
        <w:rPr>
          <w:lang w:val="fr-FR"/>
        </w:rPr>
        <w:t xml:space="preserve">participer </w:t>
      </w:r>
      <w:r w:rsidRPr="00541A92">
        <w:rPr>
          <w:lang w:val="fr-FR"/>
        </w:rPr>
        <w:t xml:space="preserve">au Forum. </w:t>
      </w:r>
      <w:r w:rsidRPr="008E353C">
        <w:rPr>
          <w:b/>
          <w:lang w:val="fr-FR"/>
        </w:rPr>
        <w:t xml:space="preserve">Le premier Forum sur les Politiques de Transport en Afrique </w:t>
      </w:r>
      <w:r w:rsidRPr="00541A92">
        <w:rPr>
          <w:lang w:val="fr-FR"/>
        </w:rPr>
        <w:t>sera ouvert à tous les participants intéressés. Seuls ceux parrainés pour p</w:t>
      </w:r>
      <w:r w:rsidR="008863A7">
        <w:rPr>
          <w:lang w:val="fr-FR"/>
        </w:rPr>
        <w:t xml:space="preserve">articiper à la </w:t>
      </w:r>
      <w:r>
        <w:rPr>
          <w:lang w:val="fr-FR"/>
        </w:rPr>
        <w:t>journée de la R</w:t>
      </w:r>
      <w:r w:rsidRPr="00541A92">
        <w:rPr>
          <w:lang w:val="fr-FR"/>
        </w:rPr>
        <w:t xml:space="preserve">éunion </w:t>
      </w:r>
      <w:r>
        <w:rPr>
          <w:lang w:val="fr-FR"/>
        </w:rPr>
        <w:t>A</w:t>
      </w:r>
      <w:r w:rsidRPr="00541A92">
        <w:rPr>
          <w:lang w:val="fr-FR"/>
        </w:rPr>
        <w:t>nnuelle du SSATP, qui suivra le forum, seront parrainé</w:t>
      </w:r>
      <w:r>
        <w:rPr>
          <w:lang w:val="fr-FR"/>
        </w:rPr>
        <w:t xml:space="preserve">s pour participer au forum. La </w:t>
      </w:r>
      <w:r w:rsidRPr="008E353C">
        <w:rPr>
          <w:b/>
          <w:lang w:val="fr-FR"/>
        </w:rPr>
        <w:t>Réunion Annuelle du SSATP</w:t>
      </w:r>
      <w:r w:rsidRPr="00541A92">
        <w:rPr>
          <w:lang w:val="fr-FR"/>
        </w:rPr>
        <w:t xml:space="preserve"> sera seulement ouvert</w:t>
      </w:r>
      <w:r>
        <w:rPr>
          <w:lang w:val="fr-FR"/>
        </w:rPr>
        <w:t>e</w:t>
      </w:r>
      <w:r w:rsidRPr="00541A92">
        <w:rPr>
          <w:lang w:val="fr-FR"/>
        </w:rPr>
        <w:t xml:space="preserve"> au</w:t>
      </w:r>
      <w:r>
        <w:rPr>
          <w:lang w:val="fr-FR"/>
        </w:rPr>
        <w:t>x partenaires du</w:t>
      </w:r>
      <w:r w:rsidRPr="00541A92">
        <w:rPr>
          <w:lang w:val="fr-FR"/>
        </w:rPr>
        <w:t xml:space="preserve"> SSATP </w:t>
      </w:r>
      <w:r>
        <w:rPr>
          <w:lang w:val="fr-FR"/>
        </w:rPr>
        <w:t xml:space="preserve">et aux </w:t>
      </w:r>
      <w:r w:rsidRPr="00541A92">
        <w:rPr>
          <w:lang w:val="fr-FR"/>
        </w:rPr>
        <w:t>parties prenantes désigné</w:t>
      </w:r>
      <w:r>
        <w:rPr>
          <w:lang w:val="fr-FR"/>
        </w:rPr>
        <w:t>e</w:t>
      </w:r>
      <w:r w:rsidRPr="00541A92">
        <w:rPr>
          <w:lang w:val="fr-FR"/>
        </w:rPr>
        <w:t>s par les gouvernements, les institutions africain</w:t>
      </w:r>
      <w:r>
        <w:rPr>
          <w:lang w:val="fr-FR"/>
        </w:rPr>
        <w:t>e</w:t>
      </w:r>
      <w:r w:rsidRPr="00541A92">
        <w:rPr>
          <w:lang w:val="fr-FR"/>
        </w:rPr>
        <w:t xml:space="preserve">s, les communautés économiques régionales, </w:t>
      </w:r>
      <w:r>
        <w:rPr>
          <w:lang w:val="fr-FR"/>
        </w:rPr>
        <w:t xml:space="preserve">le </w:t>
      </w:r>
      <w:r w:rsidRPr="00541A92">
        <w:rPr>
          <w:lang w:val="fr-FR"/>
        </w:rPr>
        <w:t xml:space="preserve">secteur privé et </w:t>
      </w:r>
      <w:r>
        <w:rPr>
          <w:lang w:val="fr-FR"/>
        </w:rPr>
        <w:t>l</w:t>
      </w:r>
      <w:r w:rsidRPr="00541A92">
        <w:rPr>
          <w:lang w:val="fr-FR"/>
        </w:rPr>
        <w:t xml:space="preserve">es partenaires </w:t>
      </w:r>
      <w:r>
        <w:rPr>
          <w:lang w:val="fr-FR"/>
        </w:rPr>
        <w:t xml:space="preserve">pour le </w:t>
      </w:r>
      <w:r w:rsidRPr="00541A92">
        <w:rPr>
          <w:lang w:val="fr-FR"/>
        </w:rPr>
        <w:t>développement.</w:t>
      </w:r>
    </w:p>
    <w:p w:rsidR="008C43DE" w:rsidRPr="008E353C" w:rsidRDefault="008C43DE" w:rsidP="008C43DE">
      <w:pPr>
        <w:spacing w:after="0" w:line="240" w:lineRule="auto"/>
        <w:rPr>
          <w:lang w:val="fr-FR"/>
        </w:rPr>
      </w:pPr>
    </w:p>
    <w:p w:rsidR="008C43DE" w:rsidRPr="008E353C" w:rsidRDefault="007350D1" w:rsidP="008C43DE">
      <w:pPr>
        <w:spacing w:after="0" w:line="240" w:lineRule="auto"/>
        <w:rPr>
          <w:lang w:val="fr-FR"/>
        </w:rPr>
      </w:pPr>
      <w:r w:rsidRPr="008E353C">
        <w:rPr>
          <w:lang w:val="fr-FR"/>
        </w:rPr>
        <w:t>Nombre de participants</w:t>
      </w:r>
      <w:r w:rsidR="008C43DE" w:rsidRPr="008E353C">
        <w:rPr>
          <w:lang w:val="fr-FR"/>
        </w:rPr>
        <w:t>: __________</w:t>
      </w:r>
    </w:p>
    <w:sectPr w:rsidR="008C43DE" w:rsidRPr="008E353C" w:rsidSect="000875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FE"/>
    <w:multiLevelType w:val="singleLevel"/>
    <w:tmpl w:val="4A7625A4"/>
    <w:lvl w:ilvl="0">
      <w:numFmt w:val="bullet"/>
      <w:lvlText w:val="*"/>
      <w:lvlJc w:val="left"/>
    </w:lvl>
  </w:abstractNum>
  <w:abstractNum w:abstractNumId="1">
    <w:nsid w:val="09082CDC"/>
    <w:multiLevelType w:val="hybridMultilevel"/>
    <w:tmpl w:val="CF64B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4219"/>
    <w:multiLevelType w:val="hybridMultilevel"/>
    <w:tmpl w:val="F1A6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173D7"/>
    <w:multiLevelType w:val="hybridMultilevel"/>
    <w:tmpl w:val="9F04FF04"/>
    <w:lvl w:ilvl="0" w:tplc="37BA249C">
      <w:start w:val="5"/>
      <w:numFmt w:val="bullet"/>
      <w:lvlText w:val="-"/>
      <w:lvlJc w:val="left"/>
      <w:pPr>
        <w:ind w:left="720" w:hanging="360"/>
      </w:pPr>
      <w:rPr>
        <w:rFonts w:ascii="Calibri" w:eastAsiaTheme="minorHAnsi" w:hAnsi="Calibri" w:cs="Calibri" w:hint="default"/>
      </w:rPr>
    </w:lvl>
    <w:lvl w:ilvl="1" w:tplc="37BA249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A1E96"/>
    <w:multiLevelType w:val="hybridMultilevel"/>
    <w:tmpl w:val="E66C669E"/>
    <w:lvl w:ilvl="0" w:tplc="F3A21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D3DE0"/>
    <w:multiLevelType w:val="hybridMultilevel"/>
    <w:tmpl w:val="10B660B4"/>
    <w:lvl w:ilvl="0" w:tplc="35DA7D9A">
      <w:start w:val="1"/>
      <w:numFmt w:val="bullet"/>
      <w:lvlText w:val=""/>
      <w:lvlJc w:val="left"/>
      <w:pPr>
        <w:tabs>
          <w:tab w:val="num" w:pos="720"/>
        </w:tabs>
        <w:ind w:left="720" w:hanging="360"/>
      </w:pPr>
      <w:rPr>
        <w:rFonts w:ascii="Wingdings" w:hAnsi="Wingdings" w:hint="default"/>
      </w:rPr>
    </w:lvl>
    <w:lvl w:ilvl="1" w:tplc="DCFEB5B4" w:tentative="1">
      <w:start w:val="1"/>
      <w:numFmt w:val="bullet"/>
      <w:lvlText w:val=""/>
      <w:lvlJc w:val="left"/>
      <w:pPr>
        <w:tabs>
          <w:tab w:val="num" w:pos="1440"/>
        </w:tabs>
        <w:ind w:left="1440" w:hanging="360"/>
      </w:pPr>
      <w:rPr>
        <w:rFonts w:ascii="Wingdings" w:hAnsi="Wingdings" w:hint="default"/>
      </w:rPr>
    </w:lvl>
    <w:lvl w:ilvl="2" w:tplc="49D622EC" w:tentative="1">
      <w:start w:val="1"/>
      <w:numFmt w:val="bullet"/>
      <w:lvlText w:val=""/>
      <w:lvlJc w:val="left"/>
      <w:pPr>
        <w:tabs>
          <w:tab w:val="num" w:pos="2160"/>
        </w:tabs>
        <w:ind w:left="2160" w:hanging="360"/>
      </w:pPr>
      <w:rPr>
        <w:rFonts w:ascii="Wingdings" w:hAnsi="Wingdings" w:hint="default"/>
      </w:rPr>
    </w:lvl>
    <w:lvl w:ilvl="3" w:tplc="FCB698F6" w:tentative="1">
      <w:start w:val="1"/>
      <w:numFmt w:val="bullet"/>
      <w:lvlText w:val=""/>
      <w:lvlJc w:val="left"/>
      <w:pPr>
        <w:tabs>
          <w:tab w:val="num" w:pos="2880"/>
        </w:tabs>
        <w:ind w:left="2880" w:hanging="360"/>
      </w:pPr>
      <w:rPr>
        <w:rFonts w:ascii="Wingdings" w:hAnsi="Wingdings" w:hint="default"/>
      </w:rPr>
    </w:lvl>
    <w:lvl w:ilvl="4" w:tplc="89BC79A0" w:tentative="1">
      <w:start w:val="1"/>
      <w:numFmt w:val="bullet"/>
      <w:lvlText w:val=""/>
      <w:lvlJc w:val="left"/>
      <w:pPr>
        <w:tabs>
          <w:tab w:val="num" w:pos="3600"/>
        </w:tabs>
        <w:ind w:left="3600" w:hanging="360"/>
      </w:pPr>
      <w:rPr>
        <w:rFonts w:ascii="Wingdings" w:hAnsi="Wingdings" w:hint="default"/>
      </w:rPr>
    </w:lvl>
    <w:lvl w:ilvl="5" w:tplc="781C3B8C" w:tentative="1">
      <w:start w:val="1"/>
      <w:numFmt w:val="bullet"/>
      <w:lvlText w:val=""/>
      <w:lvlJc w:val="left"/>
      <w:pPr>
        <w:tabs>
          <w:tab w:val="num" w:pos="4320"/>
        </w:tabs>
        <w:ind w:left="4320" w:hanging="360"/>
      </w:pPr>
      <w:rPr>
        <w:rFonts w:ascii="Wingdings" w:hAnsi="Wingdings" w:hint="default"/>
      </w:rPr>
    </w:lvl>
    <w:lvl w:ilvl="6" w:tplc="C21A0FC8" w:tentative="1">
      <w:start w:val="1"/>
      <w:numFmt w:val="bullet"/>
      <w:lvlText w:val=""/>
      <w:lvlJc w:val="left"/>
      <w:pPr>
        <w:tabs>
          <w:tab w:val="num" w:pos="5040"/>
        </w:tabs>
        <w:ind w:left="5040" w:hanging="360"/>
      </w:pPr>
      <w:rPr>
        <w:rFonts w:ascii="Wingdings" w:hAnsi="Wingdings" w:hint="default"/>
      </w:rPr>
    </w:lvl>
    <w:lvl w:ilvl="7" w:tplc="B5FAAFEA" w:tentative="1">
      <w:start w:val="1"/>
      <w:numFmt w:val="bullet"/>
      <w:lvlText w:val=""/>
      <w:lvlJc w:val="left"/>
      <w:pPr>
        <w:tabs>
          <w:tab w:val="num" w:pos="5760"/>
        </w:tabs>
        <w:ind w:left="5760" w:hanging="360"/>
      </w:pPr>
      <w:rPr>
        <w:rFonts w:ascii="Wingdings" w:hAnsi="Wingdings" w:hint="default"/>
      </w:rPr>
    </w:lvl>
    <w:lvl w:ilvl="8" w:tplc="2702E950" w:tentative="1">
      <w:start w:val="1"/>
      <w:numFmt w:val="bullet"/>
      <w:lvlText w:val=""/>
      <w:lvlJc w:val="left"/>
      <w:pPr>
        <w:tabs>
          <w:tab w:val="num" w:pos="6480"/>
        </w:tabs>
        <w:ind w:left="6480" w:hanging="360"/>
      </w:pPr>
      <w:rPr>
        <w:rFonts w:ascii="Wingdings" w:hAnsi="Wingdings" w:hint="default"/>
      </w:rPr>
    </w:lvl>
  </w:abstractNum>
  <w:abstractNum w:abstractNumId="6">
    <w:nsid w:val="35F9481C"/>
    <w:multiLevelType w:val="hybridMultilevel"/>
    <w:tmpl w:val="B2F85334"/>
    <w:lvl w:ilvl="0" w:tplc="37BA249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52575"/>
    <w:multiLevelType w:val="hybridMultilevel"/>
    <w:tmpl w:val="39CEF902"/>
    <w:lvl w:ilvl="0" w:tplc="258AA8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96779"/>
    <w:multiLevelType w:val="hybridMultilevel"/>
    <w:tmpl w:val="BF584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9C3E66"/>
    <w:multiLevelType w:val="hybridMultilevel"/>
    <w:tmpl w:val="06CAC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7E62D2"/>
    <w:multiLevelType w:val="singleLevel"/>
    <w:tmpl w:val="04090003"/>
    <w:lvl w:ilvl="0">
      <w:start w:val="1"/>
      <w:numFmt w:val="bullet"/>
      <w:lvlText w:val="o"/>
      <w:lvlJc w:val="left"/>
      <w:pPr>
        <w:ind w:left="360" w:hanging="360"/>
      </w:pPr>
      <w:rPr>
        <w:rFonts w:ascii="Courier New" w:hAnsi="Courier New" w:cs="Courier New" w:hint="default"/>
      </w:r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E0"/>
    <w:rsid w:val="00001B16"/>
    <w:rsid w:val="000060C4"/>
    <w:rsid w:val="0001109C"/>
    <w:rsid w:val="00011BE0"/>
    <w:rsid w:val="0001406F"/>
    <w:rsid w:val="000155E6"/>
    <w:rsid w:val="00016C7F"/>
    <w:rsid w:val="00017538"/>
    <w:rsid w:val="00024F6F"/>
    <w:rsid w:val="00025214"/>
    <w:rsid w:val="00025631"/>
    <w:rsid w:val="0003248D"/>
    <w:rsid w:val="00035A36"/>
    <w:rsid w:val="00045AC0"/>
    <w:rsid w:val="00050B9D"/>
    <w:rsid w:val="000511CE"/>
    <w:rsid w:val="00055249"/>
    <w:rsid w:val="000564C0"/>
    <w:rsid w:val="000652E5"/>
    <w:rsid w:val="000656BE"/>
    <w:rsid w:val="00067FA8"/>
    <w:rsid w:val="00072520"/>
    <w:rsid w:val="00072A8A"/>
    <w:rsid w:val="00072EF5"/>
    <w:rsid w:val="000733CD"/>
    <w:rsid w:val="0007748B"/>
    <w:rsid w:val="00077CB5"/>
    <w:rsid w:val="00082980"/>
    <w:rsid w:val="00087517"/>
    <w:rsid w:val="0009038B"/>
    <w:rsid w:val="00090491"/>
    <w:rsid w:val="00090FFC"/>
    <w:rsid w:val="000920A5"/>
    <w:rsid w:val="000922F2"/>
    <w:rsid w:val="00092E54"/>
    <w:rsid w:val="000943D1"/>
    <w:rsid w:val="00097660"/>
    <w:rsid w:val="000A046C"/>
    <w:rsid w:val="000A180E"/>
    <w:rsid w:val="000A238D"/>
    <w:rsid w:val="000A251A"/>
    <w:rsid w:val="000A3F25"/>
    <w:rsid w:val="000A430D"/>
    <w:rsid w:val="000A7349"/>
    <w:rsid w:val="000B011D"/>
    <w:rsid w:val="000B245F"/>
    <w:rsid w:val="000B33AD"/>
    <w:rsid w:val="000B6FAE"/>
    <w:rsid w:val="000B7634"/>
    <w:rsid w:val="000C03FE"/>
    <w:rsid w:val="000C15A2"/>
    <w:rsid w:val="000C2F0C"/>
    <w:rsid w:val="000D0147"/>
    <w:rsid w:val="000D2771"/>
    <w:rsid w:val="000E04D3"/>
    <w:rsid w:val="000E04FB"/>
    <w:rsid w:val="000E0831"/>
    <w:rsid w:val="000E1CC6"/>
    <w:rsid w:val="000E2E97"/>
    <w:rsid w:val="000E3779"/>
    <w:rsid w:val="000E5784"/>
    <w:rsid w:val="000E5A17"/>
    <w:rsid w:val="000F30DC"/>
    <w:rsid w:val="000F3B6B"/>
    <w:rsid w:val="000F6401"/>
    <w:rsid w:val="000F7CDF"/>
    <w:rsid w:val="000F7CED"/>
    <w:rsid w:val="00100179"/>
    <w:rsid w:val="00101D88"/>
    <w:rsid w:val="00103B48"/>
    <w:rsid w:val="00104F43"/>
    <w:rsid w:val="001055C9"/>
    <w:rsid w:val="00107790"/>
    <w:rsid w:val="00111A7F"/>
    <w:rsid w:val="00112CDE"/>
    <w:rsid w:val="00114714"/>
    <w:rsid w:val="00115126"/>
    <w:rsid w:val="00115EE0"/>
    <w:rsid w:val="00117BE6"/>
    <w:rsid w:val="00121107"/>
    <w:rsid w:val="00122C37"/>
    <w:rsid w:val="001241C6"/>
    <w:rsid w:val="00124387"/>
    <w:rsid w:val="00124BFC"/>
    <w:rsid w:val="00130E89"/>
    <w:rsid w:val="00131947"/>
    <w:rsid w:val="00135393"/>
    <w:rsid w:val="0013589A"/>
    <w:rsid w:val="001367FA"/>
    <w:rsid w:val="00146963"/>
    <w:rsid w:val="00153088"/>
    <w:rsid w:val="00153B10"/>
    <w:rsid w:val="00155610"/>
    <w:rsid w:val="00155BD3"/>
    <w:rsid w:val="00155F68"/>
    <w:rsid w:val="001574A0"/>
    <w:rsid w:val="0016124F"/>
    <w:rsid w:val="00162304"/>
    <w:rsid w:val="001655CA"/>
    <w:rsid w:val="001738B1"/>
    <w:rsid w:val="001757CC"/>
    <w:rsid w:val="00175ADB"/>
    <w:rsid w:val="00177381"/>
    <w:rsid w:val="001779AD"/>
    <w:rsid w:val="001827F4"/>
    <w:rsid w:val="0018403A"/>
    <w:rsid w:val="00190575"/>
    <w:rsid w:val="00193643"/>
    <w:rsid w:val="00195135"/>
    <w:rsid w:val="001977FE"/>
    <w:rsid w:val="00197974"/>
    <w:rsid w:val="00197F6F"/>
    <w:rsid w:val="001A046A"/>
    <w:rsid w:val="001A1756"/>
    <w:rsid w:val="001A23E5"/>
    <w:rsid w:val="001A3A34"/>
    <w:rsid w:val="001A7431"/>
    <w:rsid w:val="001B0854"/>
    <w:rsid w:val="001B1E2F"/>
    <w:rsid w:val="001B582F"/>
    <w:rsid w:val="001B63F6"/>
    <w:rsid w:val="001C4587"/>
    <w:rsid w:val="001C59D0"/>
    <w:rsid w:val="001D04E9"/>
    <w:rsid w:val="001D0E07"/>
    <w:rsid w:val="001D1F9D"/>
    <w:rsid w:val="001D2C12"/>
    <w:rsid w:val="001D6588"/>
    <w:rsid w:val="001D708A"/>
    <w:rsid w:val="001D7269"/>
    <w:rsid w:val="001D7CF7"/>
    <w:rsid w:val="001E18D6"/>
    <w:rsid w:val="001E3D65"/>
    <w:rsid w:val="001E4D18"/>
    <w:rsid w:val="001E6664"/>
    <w:rsid w:val="001F100F"/>
    <w:rsid w:val="001F19EE"/>
    <w:rsid w:val="001F1AC9"/>
    <w:rsid w:val="001F4C9C"/>
    <w:rsid w:val="001F64B0"/>
    <w:rsid w:val="001F7EA6"/>
    <w:rsid w:val="00200E34"/>
    <w:rsid w:val="00201372"/>
    <w:rsid w:val="002034EA"/>
    <w:rsid w:val="00204ED5"/>
    <w:rsid w:val="00206900"/>
    <w:rsid w:val="00206B03"/>
    <w:rsid w:val="002075EA"/>
    <w:rsid w:val="00213835"/>
    <w:rsid w:val="00216BD1"/>
    <w:rsid w:val="00222063"/>
    <w:rsid w:val="0022359D"/>
    <w:rsid w:val="002235AF"/>
    <w:rsid w:val="0022605F"/>
    <w:rsid w:val="00227210"/>
    <w:rsid w:val="002302B7"/>
    <w:rsid w:val="00230636"/>
    <w:rsid w:val="002309BF"/>
    <w:rsid w:val="002318C6"/>
    <w:rsid w:val="0023190F"/>
    <w:rsid w:val="002356C5"/>
    <w:rsid w:val="0023608E"/>
    <w:rsid w:val="002365D0"/>
    <w:rsid w:val="0023725F"/>
    <w:rsid w:val="00240C3D"/>
    <w:rsid w:val="00241457"/>
    <w:rsid w:val="0024353C"/>
    <w:rsid w:val="00250353"/>
    <w:rsid w:val="002520A2"/>
    <w:rsid w:val="00252CC8"/>
    <w:rsid w:val="0025307B"/>
    <w:rsid w:val="0026148F"/>
    <w:rsid w:val="00262442"/>
    <w:rsid w:val="002624E6"/>
    <w:rsid w:val="00262C72"/>
    <w:rsid w:val="002633F7"/>
    <w:rsid w:val="00264930"/>
    <w:rsid w:val="002668A6"/>
    <w:rsid w:val="002676F5"/>
    <w:rsid w:val="002678C1"/>
    <w:rsid w:val="00267C49"/>
    <w:rsid w:val="002708F9"/>
    <w:rsid w:val="0027271C"/>
    <w:rsid w:val="00273CE0"/>
    <w:rsid w:val="00273D9D"/>
    <w:rsid w:val="002759A9"/>
    <w:rsid w:val="00275EAA"/>
    <w:rsid w:val="0028344B"/>
    <w:rsid w:val="0028503E"/>
    <w:rsid w:val="00286616"/>
    <w:rsid w:val="002874D4"/>
    <w:rsid w:val="00291EAB"/>
    <w:rsid w:val="0029226E"/>
    <w:rsid w:val="002A068C"/>
    <w:rsid w:val="002A08ED"/>
    <w:rsid w:val="002A0AA5"/>
    <w:rsid w:val="002A1771"/>
    <w:rsid w:val="002A63B7"/>
    <w:rsid w:val="002A7697"/>
    <w:rsid w:val="002B202C"/>
    <w:rsid w:val="002B225D"/>
    <w:rsid w:val="002B39B5"/>
    <w:rsid w:val="002B6836"/>
    <w:rsid w:val="002B6DC3"/>
    <w:rsid w:val="002B785F"/>
    <w:rsid w:val="002C1A70"/>
    <w:rsid w:val="002C351E"/>
    <w:rsid w:val="002C4C0D"/>
    <w:rsid w:val="002C55E7"/>
    <w:rsid w:val="002C724D"/>
    <w:rsid w:val="002C7D6E"/>
    <w:rsid w:val="002D0527"/>
    <w:rsid w:val="002D0D57"/>
    <w:rsid w:val="002D232C"/>
    <w:rsid w:val="002D3A85"/>
    <w:rsid w:val="002D4958"/>
    <w:rsid w:val="002D6814"/>
    <w:rsid w:val="002D6960"/>
    <w:rsid w:val="002E051E"/>
    <w:rsid w:val="002E3735"/>
    <w:rsid w:val="002E37E5"/>
    <w:rsid w:val="002E48EA"/>
    <w:rsid w:val="002E6728"/>
    <w:rsid w:val="002F1563"/>
    <w:rsid w:val="002F1CF9"/>
    <w:rsid w:val="002F34DC"/>
    <w:rsid w:val="002F3C79"/>
    <w:rsid w:val="002F3E21"/>
    <w:rsid w:val="002F48F5"/>
    <w:rsid w:val="002F6F66"/>
    <w:rsid w:val="002F7B36"/>
    <w:rsid w:val="003026D4"/>
    <w:rsid w:val="0030306B"/>
    <w:rsid w:val="00304676"/>
    <w:rsid w:val="00304A12"/>
    <w:rsid w:val="00307C0B"/>
    <w:rsid w:val="00311722"/>
    <w:rsid w:val="0031418D"/>
    <w:rsid w:val="00317A71"/>
    <w:rsid w:val="00320541"/>
    <w:rsid w:val="00320C51"/>
    <w:rsid w:val="00321787"/>
    <w:rsid w:val="00323200"/>
    <w:rsid w:val="00326414"/>
    <w:rsid w:val="00327FFA"/>
    <w:rsid w:val="00330F9F"/>
    <w:rsid w:val="003317F8"/>
    <w:rsid w:val="00331D0B"/>
    <w:rsid w:val="003353DB"/>
    <w:rsid w:val="00335EC1"/>
    <w:rsid w:val="003412AE"/>
    <w:rsid w:val="00341745"/>
    <w:rsid w:val="00341C16"/>
    <w:rsid w:val="00341FB5"/>
    <w:rsid w:val="003439E9"/>
    <w:rsid w:val="00343D98"/>
    <w:rsid w:val="00343EEE"/>
    <w:rsid w:val="003506FB"/>
    <w:rsid w:val="00351B61"/>
    <w:rsid w:val="0035391F"/>
    <w:rsid w:val="00353ACF"/>
    <w:rsid w:val="00353E00"/>
    <w:rsid w:val="00355B4D"/>
    <w:rsid w:val="00355DBA"/>
    <w:rsid w:val="00356E6E"/>
    <w:rsid w:val="00357D21"/>
    <w:rsid w:val="00363C62"/>
    <w:rsid w:val="00363E8D"/>
    <w:rsid w:val="00366CE4"/>
    <w:rsid w:val="00370625"/>
    <w:rsid w:val="003725B2"/>
    <w:rsid w:val="0037327D"/>
    <w:rsid w:val="003734A7"/>
    <w:rsid w:val="00373AA6"/>
    <w:rsid w:val="003742F5"/>
    <w:rsid w:val="003767F9"/>
    <w:rsid w:val="00377EA1"/>
    <w:rsid w:val="00381680"/>
    <w:rsid w:val="0038423E"/>
    <w:rsid w:val="003857DD"/>
    <w:rsid w:val="00386E08"/>
    <w:rsid w:val="0039443E"/>
    <w:rsid w:val="003A0661"/>
    <w:rsid w:val="003A133D"/>
    <w:rsid w:val="003A19AD"/>
    <w:rsid w:val="003A35EF"/>
    <w:rsid w:val="003A5B2B"/>
    <w:rsid w:val="003A6990"/>
    <w:rsid w:val="003B0655"/>
    <w:rsid w:val="003B08E6"/>
    <w:rsid w:val="003B2564"/>
    <w:rsid w:val="003B5B72"/>
    <w:rsid w:val="003B5EB4"/>
    <w:rsid w:val="003B62CC"/>
    <w:rsid w:val="003B7CF0"/>
    <w:rsid w:val="003C4819"/>
    <w:rsid w:val="003C5E9E"/>
    <w:rsid w:val="003C625F"/>
    <w:rsid w:val="003C727A"/>
    <w:rsid w:val="003D334F"/>
    <w:rsid w:val="003D3DE4"/>
    <w:rsid w:val="003D5000"/>
    <w:rsid w:val="003D576A"/>
    <w:rsid w:val="003D6002"/>
    <w:rsid w:val="003E0939"/>
    <w:rsid w:val="003E1E4C"/>
    <w:rsid w:val="003E2159"/>
    <w:rsid w:val="003E4929"/>
    <w:rsid w:val="003E5EDF"/>
    <w:rsid w:val="003F168E"/>
    <w:rsid w:val="003F2613"/>
    <w:rsid w:val="003F60B3"/>
    <w:rsid w:val="003F6E80"/>
    <w:rsid w:val="004035AD"/>
    <w:rsid w:val="00404F7B"/>
    <w:rsid w:val="00405088"/>
    <w:rsid w:val="00414FD5"/>
    <w:rsid w:val="00416C11"/>
    <w:rsid w:val="00416C1F"/>
    <w:rsid w:val="004200EA"/>
    <w:rsid w:val="0042574D"/>
    <w:rsid w:val="004272C9"/>
    <w:rsid w:val="004279E8"/>
    <w:rsid w:val="0043041A"/>
    <w:rsid w:val="0043108A"/>
    <w:rsid w:val="00431509"/>
    <w:rsid w:val="00431996"/>
    <w:rsid w:val="00431FE8"/>
    <w:rsid w:val="00434AC7"/>
    <w:rsid w:val="00437FA3"/>
    <w:rsid w:val="004405B3"/>
    <w:rsid w:val="00440E3A"/>
    <w:rsid w:val="00445AB3"/>
    <w:rsid w:val="004468DD"/>
    <w:rsid w:val="00447298"/>
    <w:rsid w:val="0044791E"/>
    <w:rsid w:val="00450DB1"/>
    <w:rsid w:val="00454E17"/>
    <w:rsid w:val="00457F7A"/>
    <w:rsid w:val="004605B7"/>
    <w:rsid w:val="00461373"/>
    <w:rsid w:val="0046178D"/>
    <w:rsid w:val="00462D8E"/>
    <w:rsid w:val="0046483B"/>
    <w:rsid w:val="00471AD4"/>
    <w:rsid w:val="00472B16"/>
    <w:rsid w:val="00474652"/>
    <w:rsid w:val="0047543C"/>
    <w:rsid w:val="00481529"/>
    <w:rsid w:val="00484249"/>
    <w:rsid w:val="00485DE5"/>
    <w:rsid w:val="00486F66"/>
    <w:rsid w:val="004876F6"/>
    <w:rsid w:val="00487F0D"/>
    <w:rsid w:val="00493480"/>
    <w:rsid w:val="00494C0F"/>
    <w:rsid w:val="0049677E"/>
    <w:rsid w:val="004967A6"/>
    <w:rsid w:val="004A65B6"/>
    <w:rsid w:val="004A79BF"/>
    <w:rsid w:val="004B2E3C"/>
    <w:rsid w:val="004B6535"/>
    <w:rsid w:val="004B65A6"/>
    <w:rsid w:val="004B6931"/>
    <w:rsid w:val="004C03EF"/>
    <w:rsid w:val="004C15D7"/>
    <w:rsid w:val="004C1D45"/>
    <w:rsid w:val="004C2D16"/>
    <w:rsid w:val="004C402B"/>
    <w:rsid w:val="004C4686"/>
    <w:rsid w:val="004C7120"/>
    <w:rsid w:val="004C7E96"/>
    <w:rsid w:val="004D7931"/>
    <w:rsid w:val="004E5E87"/>
    <w:rsid w:val="004F0BDE"/>
    <w:rsid w:val="004F475B"/>
    <w:rsid w:val="004F5373"/>
    <w:rsid w:val="004F5BE0"/>
    <w:rsid w:val="004F716D"/>
    <w:rsid w:val="00503398"/>
    <w:rsid w:val="00505BCA"/>
    <w:rsid w:val="00511AE8"/>
    <w:rsid w:val="00513F0C"/>
    <w:rsid w:val="005165DB"/>
    <w:rsid w:val="00517BBB"/>
    <w:rsid w:val="00524329"/>
    <w:rsid w:val="00526687"/>
    <w:rsid w:val="00533191"/>
    <w:rsid w:val="00536CF4"/>
    <w:rsid w:val="00537342"/>
    <w:rsid w:val="00540AA2"/>
    <w:rsid w:val="00541A92"/>
    <w:rsid w:val="005448BB"/>
    <w:rsid w:val="00544C30"/>
    <w:rsid w:val="00546B57"/>
    <w:rsid w:val="00551880"/>
    <w:rsid w:val="00554B3C"/>
    <w:rsid w:val="0055555E"/>
    <w:rsid w:val="00555EE6"/>
    <w:rsid w:val="00556000"/>
    <w:rsid w:val="0056274C"/>
    <w:rsid w:val="005629AD"/>
    <w:rsid w:val="005653BC"/>
    <w:rsid w:val="005658BA"/>
    <w:rsid w:val="00565932"/>
    <w:rsid w:val="0056790C"/>
    <w:rsid w:val="005706C0"/>
    <w:rsid w:val="005715BB"/>
    <w:rsid w:val="00572BCF"/>
    <w:rsid w:val="00573B33"/>
    <w:rsid w:val="00575A52"/>
    <w:rsid w:val="00575E93"/>
    <w:rsid w:val="00575F2D"/>
    <w:rsid w:val="00577415"/>
    <w:rsid w:val="005802F9"/>
    <w:rsid w:val="00586EFA"/>
    <w:rsid w:val="00587BED"/>
    <w:rsid w:val="005906BE"/>
    <w:rsid w:val="00590AA5"/>
    <w:rsid w:val="00590B64"/>
    <w:rsid w:val="00590CAC"/>
    <w:rsid w:val="005913B4"/>
    <w:rsid w:val="005945E8"/>
    <w:rsid w:val="005A1B76"/>
    <w:rsid w:val="005A56A5"/>
    <w:rsid w:val="005A6A65"/>
    <w:rsid w:val="005A714F"/>
    <w:rsid w:val="005B7BFB"/>
    <w:rsid w:val="005C1AC2"/>
    <w:rsid w:val="005C3EC2"/>
    <w:rsid w:val="005C5C0E"/>
    <w:rsid w:val="005E05B9"/>
    <w:rsid w:val="005E4F22"/>
    <w:rsid w:val="005E5817"/>
    <w:rsid w:val="005E7115"/>
    <w:rsid w:val="005E796C"/>
    <w:rsid w:val="005F022F"/>
    <w:rsid w:val="005F40B8"/>
    <w:rsid w:val="005F6C5D"/>
    <w:rsid w:val="005F7653"/>
    <w:rsid w:val="00601D0D"/>
    <w:rsid w:val="00604969"/>
    <w:rsid w:val="006061DC"/>
    <w:rsid w:val="00612577"/>
    <w:rsid w:val="006130F0"/>
    <w:rsid w:val="006142DC"/>
    <w:rsid w:val="00615840"/>
    <w:rsid w:val="006165E6"/>
    <w:rsid w:val="00616752"/>
    <w:rsid w:val="006226C2"/>
    <w:rsid w:val="00624DF5"/>
    <w:rsid w:val="00626049"/>
    <w:rsid w:val="006336F5"/>
    <w:rsid w:val="00634E6C"/>
    <w:rsid w:val="00637207"/>
    <w:rsid w:val="006446AD"/>
    <w:rsid w:val="0064576A"/>
    <w:rsid w:val="00646E0A"/>
    <w:rsid w:val="006520B3"/>
    <w:rsid w:val="006539A2"/>
    <w:rsid w:val="006573D2"/>
    <w:rsid w:val="00660938"/>
    <w:rsid w:val="00660AD2"/>
    <w:rsid w:val="00661B2D"/>
    <w:rsid w:val="00661B52"/>
    <w:rsid w:val="00666D19"/>
    <w:rsid w:val="00673674"/>
    <w:rsid w:val="00674924"/>
    <w:rsid w:val="00674D2C"/>
    <w:rsid w:val="00674FEB"/>
    <w:rsid w:val="00675551"/>
    <w:rsid w:val="00675C71"/>
    <w:rsid w:val="00677697"/>
    <w:rsid w:val="006778EB"/>
    <w:rsid w:val="00680FF8"/>
    <w:rsid w:val="006814FA"/>
    <w:rsid w:val="0068262E"/>
    <w:rsid w:val="0068276A"/>
    <w:rsid w:val="006832D7"/>
    <w:rsid w:val="00690126"/>
    <w:rsid w:val="00690CE7"/>
    <w:rsid w:val="00691D20"/>
    <w:rsid w:val="00692CBE"/>
    <w:rsid w:val="00693592"/>
    <w:rsid w:val="00693E7E"/>
    <w:rsid w:val="00693F7A"/>
    <w:rsid w:val="00694EF1"/>
    <w:rsid w:val="00695A4E"/>
    <w:rsid w:val="006A288D"/>
    <w:rsid w:val="006A3135"/>
    <w:rsid w:val="006A3861"/>
    <w:rsid w:val="006A53E8"/>
    <w:rsid w:val="006A6EBF"/>
    <w:rsid w:val="006A74D9"/>
    <w:rsid w:val="006A7CCB"/>
    <w:rsid w:val="006B2F12"/>
    <w:rsid w:val="006B474C"/>
    <w:rsid w:val="006B5FFA"/>
    <w:rsid w:val="006C2C71"/>
    <w:rsid w:val="006C4AAC"/>
    <w:rsid w:val="006D4640"/>
    <w:rsid w:val="006D5F08"/>
    <w:rsid w:val="006E33C0"/>
    <w:rsid w:val="006E3B1E"/>
    <w:rsid w:val="006E555D"/>
    <w:rsid w:val="006E5943"/>
    <w:rsid w:val="006F1C32"/>
    <w:rsid w:val="006F268C"/>
    <w:rsid w:val="006F3B72"/>
    <w:rsid w:val="006F5CE2"/>
    <w:rsid w:val="00700064"/>
    <w:rsid w:val="00700B04"/>
    <w:rsid w:val="007012F0"/>
    <w:rsid w:val="00701358"/>
    <w:rsid w:val="007018C3"/>
    <w:rsid w:val="00702072"/>
    <w:rsid w:val="0070625A"/>
    <w:rsid w:val="00706848"/>
    <w:rsid w:val="007079AC"/>
    <w:rsid w:val="00710122"/>
    <w:rsid w:val="00715234"/>
    <w:rsid w:val="00715455"/>
    <w:rsid w:val="00715E1E"/>
    <w:rsid w:val="00717908"/>
    <w:rsid w:val="00721903"/>
    <w:rsid w:val="00723C62"/>
    <w:rsid w:val="007243D8"/>
    <w:rsid w:val="0072523A"/>
    <w:rsid w:val="007253B0"/>
    <w:rsid w:val="00725770"/>
    <w:rsid w:val="007343F5"/>
    <w:rsid w:val="00734674"/>
    <w:rsid w:val="007350D1"/>
    <w:rsid w:val="00736049"/>
    <w:rsid w:val="0074024E"/>
    <w:rsid w:val="00742991"/>
    <w:rsid w:val="00744F0D"/>
    <w:rsid w:val="007457A7"/>
    <w:rsid w:val="00750DC2"/>
    <w:rsid w:val="00762C86"/>
    <w:rsid w:val="00763052"/>
    <w:rsid w:val="00771EAD"/>
    <w:rsid w:val="00772BC3"/>
    <w:rsid w:val="00773B0F"/>
    <w:rsid w:val="00774C23"/>
    <w:rsid w:val="00781C4D"/>
    <w:rsid w:val="007845DD"/>
    <w:rsid w:val="00785170"/>
    <w:rsid w:val="007907E0"/>
    <w:rsid w:val="00790CF3"/>
    <w:rsid w:val="007923B1"/>
    <w:rsid w:val="00797529"/>
    <w:rsid w:val="007A1597"/>
    <w:rsid w:val="007A210F"/>
    <w:rsid w:val="007A5D75"/>
    <w:rsid w:val="007A7AB5"/>
    <w:rsid w:val="007B3626"/>
    <w:rsid w:val="007B4CEE"/>
    <w:rsid w:val="007C077B"/>
    <w:rsid w:val="007C1036"/>
    <w:rsid w:val="007C5A0C"/>
    <w:rsid w:val="007D4E54"/>
    <w:rsid w:val="007D56F1"/>
    <w:rsid w:val="007D7860"/>
    <w:rsid w:val="007D78CF"/>
    <w:rsid w:val="007E249F"/>
    <w:rsid w:val="007E753F"/>
    <w:rsid w:val="007F0385"/>
    <w:rsid w:val="007F39E3"/>
    <w:rsid w:val="007F651B"/>
    <w:rsid w:val="007F66F2"/>
    <w:rsid w:val="008025E7"/>
    <w:rsid w:val="00803058"/>
    <w:rsid w:val="00803CA9"/>
    <w:rsid w:val="00804908"/>
    <w:rsid w:val="008109F9"/>
    <w:rsid w:val="00810B7E"/>
    <w:rsid w:val="00810FB2"/>
    <w:rsid w:val="00812B55"/>
    <w:rsid w:val="008154FD"/>
    <w:rsid w:val="00821EFB"/>
    <w:rsid w:val="00822431"/>
    <w:rsid w:val="00822464"/>
    <w:rsid w:val="008270D6"/>
    <w:rsid w:val="0083020A"/>
    <w:rsid w:val="00830BCB"/>
    <w:rsid w:val="00832E9A"/>
    <w:rsid w:val="008335FF"/>
    <w:rsid w:val="00835CD3"/>
    <w:rsid w:val="008406A1"/>
    <w:rsid w:val="00842443"/>
    <w:rsid w:val="008448D6"/>
    <w:rsid w:val="00845C7C"/>
    <w:rsid w:val="00847E7F"/>
    <w:rsid w:val="00854351"/>
    <w:rsid w:val="00860881"/>
    <w:rsid w:val="008614A9"/>
    <w:rsid w:val="00862375"/>
    <w:rsid w:val="00864DE7"/>
    <w:rsid w:val="008654CA"/>
    <w:rsid w:val="00865FDD"/>
    <w:rsid w:val="00870F02"/>
    <w:rsid w:val="00871787"/>
    <w:rsid w:val="00871928"/>
    <w:rsid w:val="00874120"/>
    <w:rsid w:val="008754CC"/>
    <w:rsid w:val="00877581"/>
    <w:rsid w:val="008848DD"/>
    <w:rsid w:val="00884900"/>
    <w:rsid w:val="00885437"/>
    <w:rsid w:val="00885DDD"/>
    <w:rsid w:val="008863A7"/>
    <w:rsid w:val="00891FB7"/>
    <w:rsid w:val="008925E5"/>
    <w:rsid w:val="0089399D"/>
    <w:rsid w:val="008944D4"/>
    <w:rsid w:val="00895927"/>
    <w:rsid w:val="0089623A"/>
    <w:rsid w:val="008A5084"/>
    <w:rsid w:val="008A5CB0"/>
    <w:rsid w:val="008B4E71"/>
    <w:rsid w:val="008B5883"/>
    <w:rsid w:val="008B6D26"/>
    <w:rsid w:val="008B6FC3"/>
    <w:rsid w:val="008B7B9C"/>
    <w:rsid w:val="008C14C8"/>
    <w:rsid w:val="008C1D99"/>
    <w:rsid w:val="008C2F97"/>
    <w:rsid w:val="008C39F9"/>
    <w:rsid w:val="008C3E74"/>
    <w:rsid w:val="008C43DE"/>
    <w:rsid w:val="008C4D61"/>
    <w:rsid w:val="008C5AC5"/>
    <w:rsid w:val="008C633D"/>
    <w:rsid w:val="008C6744"/>
    <w:rsid w:val="008C78F4"/>
    <w:rsid w:val="008C7AB8"/>
    <w:rsid w:val="008D2B04"/>
    <w:rsid w:val="008D4813"/>
    <w:rsid w:val="008D6C82"/>
    <w:rsid w:val="008E041B"/>
    <w:rsid w:val="008E353C"/>
    <w:rsid w:val="008E433B"/>
    <w:rsid w:val="008E6489"/>
    <w:rsid w:val="008F06A1"/>
    <w:rsid w:val="008F4510"/>
    <w:rsid w:val="008F5F7D"/>
    <w:rsid w:val="008F65A6"/>
    <w:rsid w:val="00900BF9"/>
    <w:rsid w:val="0090250D"/>
    <w:rsid w:val="0090594D"/>
    <w:rsid w:val="00911491"/>
    <w:rsid w:val="009152C1"/>
    <w:rsid w:val="009158B0"/>
    <w:rsid w:val="0091595C"/>
    <w:rsid w:val="009165B6"/>
    <w:rsid w:val="00917E7C"/>
    <w:rsid w:val="00922372"/>
    <w:rsid w:val="00923574"/>
    <w:rsid w:val="00924DF4"/>
    <w:rsid w:val="00925E54"/>
    <w:rsid w:val="00934A98"/>
    <w:rsid w:val="009360EF"/>
    <w:rsid w:val="00936F7E"/>
    <w:rsid w:val="00937189"/>
    <w:rsid w:val="00940A5C"/>
    <w:rsid w:val="00942879"/>
    <w:rsid w:val="0095167E"/>
    <w:rsid w:val="00951E8A"/>
    <w:rsid w:val="0095223E"/>
    <w:rsid w:val="00954192"/>
    <w:rsid w:val="00954A28"/>
    <w:rsid w:val="00954E07"/>
    <w:rsid w:val="00956C3E"/>
    <w:rsid w:val="009616B6"/>
    <w:rsid w:val="00961A49"/>
    <w:rsid w:val="009654A5"/>
    <w:rsid w:val="009658AC"/>
    <w:rsid w:val="00965F8C"/>
    <w:rsid w:val="009660D5"/>
    <w:rsid w:val="0097222D"/>
    <w:rsid w:val="0097253E"/>
    <w:rsid w:val="0097420E"/>
    <w:rsid w:val="00977CAA"/>
    <w:rsid w:val="0098364D"/>
    <w:rsid w:val="00983A28"/>
    <w:rsid w:val="009870EA"/>
    <w:rsid w:val="00992E2F"/>
    <w:rsid w:val="00994744"/>
    <w:rsid w:val="00994AE4"/>
    <w:rsid w:val="009A0357"/>
    <w:rsid w:val="009A2B6B"/>
    <w:rsid w:val="009A3695"/>
    <w:rsid w:val="009A38A5"/>
    <w:rsid w:val="009A4BCE"/>
    <w:rsid w:val="009A54DF"/>
    <w:rsid w:val="009A6E7F"/>
    <w:rsid w:val="009B3260"/>
    <w:rsid w:val="009B466C"/>
    <w:rsid w:val="009C0EE7"/>
    <w:rsid w:val="009C18A3"/>
    <w:rsid w:val="009C25B1"/>
    <w:rsid w:val="009C58BF"/>
    <w:rsid w:val="009C66F1"/>
    <w:rsid w:val="009D0460"/>
    <w:rsid w:val="009D10F5"/>
    <w:rsid w:val="009D1728"/>
    <w:rsid w:val="009D448E"/>
    <w:rsid w:val="009D5C04"/>
    <w:rsid w:val="009D6B76"/>
    <w:rsid w:val="009E710A"/>
    <w:rsid w:val="009E7CD6"/>
    <w:rsid w:val="009F061B"/>
    <w:rsid w:val="009F0CD1"/>
    <w:rsid w:val="009F18BD"/>
    <w:rsid w:val="009F3943"/>
    <w:rsid w:val="009F4621"/>
    <w:rsid w:val="009F5E4F"/>
    <w:rsid w:val="00A00307"/>
    <w:rsid w:val="00A0091C"/>
    <w:rsid w:val="00A041C4"/>
    <w:rsid w:val="00A058BC"/>
    <w:rsid w:val="00A0670A"/>
    <w:rsid w:val="00A07684"/>
    <w:rsid w:val="00A12624"/>
    <w:rsid w:val="00A231BA"/>
    <w:rsid w:val="00A253D6"/>
    <w:rsid w:val="00A25744"/>
    <w:rsid w:val="00A3009B"/>
    <w:rsid w:val="00A334A2"/>
    <w:rsid w:val="00A33926"/>
    <w:rsid w:val="00A33C21"/>
    <w:rsid w:val="00A40B2E"/>
    <w:rsid w:val="00A45225"/>
    <w:rsid w:val="00A46DB3"/>
    <w:rsid w:val="00A55825"/>
    <w:rsid w:val="00A5738C"/>
    <w:rsid w:val="00A640E7"/>
    <w:rsid w:val="00A669A7"/>
    <w:rsid w:val="00A67D5F"/>
    <w:rsid w:val="00A7046C"/>
    <w:rsid w:val="00A74E98"/>
    <w:rsid w:val="00A80947"/>
    <w:rsid w:val="00A8274A"/>
    <w:rsid w:val="00A84C58"/>
    <w:rsid w:val="00A905D6"/>
    <w:rsid w:val="00A90C53"/>
    <w:rsid w:val="00A91507"/>
    <w:rsid w:val="00A92ED9"/>
    <w:rsid w:val="00A9619D"/>
    <w:rsid w:val="00A97545"/>
    <w:rsid w:val="00AA49A8"/>
    <w:rsid w:val="00AA678D"/>
    <w:rsid w:val="00AA6D66"/>
    <w:rsid w:val="00AB22D9"/>
    <w:rsid w:val="00AB2F52"/>
    <w:rsid w:val="00AB3592"/>
    <w:rsid w:val="00AC080F"/>
    <w:rsid w:val="00AC16FE"/>
    <w:rsid w:val="00AC1D8A"/>
    <w:rsid w:val="00AC27DB"/>
    <w:rsid w:val="00AC2D89"/>
    <w:rsid w:val="00AC7B16"/>
    <w:rsid w:val="00AD0017"/>
    <w:rsid w:val="00AD228A"/>
    <w:rsid w:val="00AD26A9"/>
    <w:rsid w:val="00AD73E0"/>
    <w:rsid w:val="00AD770A"/>
    <w:rsid w:val="00AD7C4B"/>
    <w:rsid w:val="00AF0433"/>
    <w:rsid w:val="00AF16DE"/>
    <w:rsid w:val="00AF1DFE"/>
    <w:rsid w:val="00AF3B79"/>
    <w:rsid w:val="00AF6BC4"/>
    <w:rsid w:val="00AF6C0D"/>
    <w:rsid w:val="00AF6EA7"/>
    <w:rsid w:val="00AF7AC7"/>
    <w:rsid w:val="00B008EC"/>
    <w:rsid w:val="00B01062"/>
    <w:rsid w:val="00B0478C"/>
    <w:rsid w:val="00B05474"/>
    <w:rsid w:val="00B06FD2"/>
    <w:rsid w:val="00B07544"/>
    <w:rsid w:val="00B12E23"/>
    <w:rsid w:val="00B15FE6"/>
    <w:rsid w:val="00B233BA"/>
    <w:rsid w:val="00B23DA7"/>
    <w:rsid w:val="00B24DD3"/>
    <w:rsid w:val="00B310F8"/>
    <w:rsid w:val="00B31C85"/>
    <w:rsid w:val="00B32908"/>
    <w:rsid w:val="00B340C5"/>
    <w:rsid w:val="00B36582"/>
    <w:rsid w:val="00B40113"/>
    <w:rsid w:val="00B44DE7"/>
    <w:rsid w:val="00B45AD9"/>
    <w:rsid w:val="00B45DA7"/>
    <w:rsid w:val="00B47860"/>
    <w:rsid w:val="00B47EBE"/>
    <w:rsid w:val="00B51933"/>
    <w:rsid w:val="00B52118"/>
    <w:rsid w:val="00B55595"/>
    <w:rsid w:val="00B56F8A"/>
    <w:rsid w:val="00B62185"/>
    <w:rsid w:val="00B6460A"/>
    <w:rsid w:val="00B669A0"/>
    <w:rsid w:val="00B708F7"/>
    <w:rsid w:val="00B70E60"/>
    <w:rsid w:val="00B73C85"/>
    <w:rsid w:val="00B77EF2"/>
    <w:rsid w:val="00B819E0"/>
    <w:rsid w:val="00B87229"/>
    <w:rsid w:val="00B87BD3"/>
    <w:rsid w:val="00B92E7C"/>
    <w:rsid w:val="00B93BFC"/>
    <w:rsid w:val="00B93CB7"/>
    <w:rsid w:val="00B941BE"/>
    <w:rsid w:val="00B94F55"/>
    <w:rsid w:val="00B957FB"/>
    <w:rsid w:val="00B963CB"/>
    <w:rsid w:val="00BA0F6B"/>
    <w:rsid w:val="00BA2D9D"/>
    <w:rsid w:val="00BA300B"/>
    <w:rsid w:val="00BA322D"/>
    <w:rsid w:val="00BA5806"/>
    <w:rsid w:val="00BA63A6"/>
    <w:rsid w:val="00BA646F"/>
    <w:rsid w:val="00BA6A37"/>
    <w:rsid w:val="00BB13BD"/>
    <w:rsid w:val="00BB2948"/>
    <w:rsid w:val="00BB4733"/>
    <w:rsid w:val="00BB5575"/>
    <w:rsid w:val="00BB6D80"/>
    <w:rsid w:val="00BB7C9D"/>
    <w:rsid w:val="00BC0632"/>
    <w:rsid w:val="00BC3429"/>
    <w:rsid w:val="00BC389C"/>
    <w:rsid w:val="00BC492C"/>
    <w:rsid w:val="00BC6D9D"/>
    <w:rsid w:val="00BC7667"/>
    <w:rsid w:val="00BD2301"/>
    <w:rsid w:val="00BD76E6"/>
    <w:rsid w:val="00BD7E49"/>
    <w:rsid w:val="00BE0A18"/>
    <w:rsid w:val="00BE3DE8"/>
    <w:rsid w:val="00BE6984"/>
    <w:rsid w:val="00BE7124"/>
    <w:rsid w:val="00BE796C"/>
    <w:rsid w:val="00BF179B"/>
    <w:rsid w:val="00BF1D69"/>
    <w:rsid w:val="00BF54B2"/>
    <w:rsid w:val="00C0034F"/>
    <w:rsid w:val="00C0090E"/>
    <w:rsid w:val="00C044ED"/>
    <w:rsid w:val="00C120BD"/>
    <w:rsid w:val="00C122E7"/>
    <w:rsid w:val="00C12BDF"/>
    <w:rsid w:val="00C12EA1"/>
    <w:rsid w:val="00C176A0"/>
    <w:rsid w:val="00C219D2"/>
    <w:rsid w:val="00C26343"/>
    <w:rsid w:val="00C306BE"/>
    <w:rsid w:val="00C30B62"/>
    <w:rsid w:val="00C31C32"/>
    <w:rsid w:val="00C324D8"/>
    <w:rsid w:val="00C376D6"/>
    <w:rsid w:val="00C404B8"/>
    <w:rsid w:val="00C4723A"/>
    <w:rsid w:val="00C50F50"/>
    <w:rsid w:val="00C52501"/>
    <w:rsid w:val="00C527FD"/>
    <w:rsid w:val="00C56D91"/>
    <w:rsid w:val="00C60019"/>
    <w:rsid w:val="00C6030D"/>
    <w:rsid w:val="00C60952"/>
    <w:rsid w:val="00C60BB2"/>
    <w:rsid w:val="00C716F1"/>
    <w:rsid w:val="00C72BC7"/>
    <w:rsid w:val="00C731FE"/>
    <w:rsid w:val="00C73621"/>
    <w:rsid w:val="00C7475D"/>
    <w:rsid w:val="00C75162"/>
    <w:rsid w:val="00C76755"/>
    <w:rsid w:val="00C81662"/>
    <w:rsid w:val="00C85387"/>
    <w:rsid w:val="00C8627A"/>
    <w:rsid w:val="00C86A1E"/>
    <w:rsid w:val="00C901C5"/>
    <w:rsid w:val="00C938E3"/>
    <w:rsid w:val="00C93AFF"/>
    <w:rsid w:val="00C93ED1"/>
    <w:rsid w:val="00C96257"/>
    <w:rsid w:val="00CA0046"/>
    <w:rsid w:val="00CA35EF"/>
    <w:rsid w:val="00CA39C2"/>
    <w:rsid w:val="00CA4A1F"/>
    <w:rsid w:val="00CA57F5"/>
    <w:rsid w:val="00CA5FF3"/>
    <w:rsid w:val="00CB1E06"/>
    <w:rsid w:val="00CB5763"/>
    <w:rsid w:val="00CB7961"/>
    <w:rsid w:val="00CC0AFF"/>
    <w:rsid w:val="00CC27BC"/>
    <w:rsid w:val="00CC506E"/>
    <w:rsid w:val="00CD7697"/>
    <w:rsid w:val="00CE20BB"/>
    <w:rsid w:val="00CE2AB1"/>
    <w:rsid w:val="00CF0DD2"/>
    <w:rsid w:val="00CF650C"/>
    <w:rsid w:val="00CF78AF"/>
    <w:rsid w:val="00CF7DED"/>
    <w:rsid w:val="00CF7E42"/>
    <w:rsid w:val="00D000F7"/>
    <w:rsid w:val="00D010B4"/>
    <w:rsid w:val="00D02AD5"/>
    <w:rsid w:val="00D05A45"/>
    <w:rsid w:val="00D064FD"/>
    <w:rsid w:val="00D1034E"/>
    <w:rsid w:val="00D15FE8"/>
    <w:rsid w:val="00D2090C"/>
    <w:rsid w:val="00D23495"/>
    <w:rsid w:val="00D2472E"/>
    <w:rsid w:val="00D305F0"/>
    <w:rsid w:val="00D34A8A"/>
    <w:rsid w:val="00D35BB5"/>
    <w:rsid w:val="00D36C5D"/>
    <w:rsid w:val="00D37F75"/>
    <w:rsid w:val="00D41794"/>
    <w:rsid w:val="00D45680"/>
    <w:rsid w:val="00D51B9D"/>
    <w:rsid w:val="00D5386A"/>
    <w:rsid w:val="00D616AB"/>
    <w:rsid w:val="00D6718A"/>
    <w:rsid w:val="00D67B38"/>
    <w:rsid w:val="00D67F6F"/>
    <w:rsid w:val="00D71453"/>
    <w:rsid w:val="00D73FE5"/>
    <w:rsid w:val="00D741F6"/>
    <w:rsid w:val="00D7548E"/>
    <w:rsid w:val="00D76F3C"/>
    <w:rsid w:val="00D84F16"/>
    <w:rsid w:val="00D86887"/>
    <w:rsid w:val="00D875B3"/>
    <w:rsid w:val="00D90CEA"/>
    <w:rsid w:val="00D94908"/>
    <w:rsid w:val="00D96322"/>
    <w:rsid w:val="00D96FC8"/>
    <w:rsid w:val="00DA022D"/>
    <w:rsid w:val="00DA1973"/>
    <w:rsid w:val="00DA6F51"/>
    <w:rsid w:val="00DA7CFD"/>
    <w:rsid w:val="00DB2AE3"/>
    <w:rsid w:val="00DB30DF"/>
    <w:rsid w:val="00DB5221"/>
    <w:rsid w:val="00DB6EBD"/>
    <w:rsid w:val="00DB7AAA"/>
    <w:rsid w:val="00DB7FA5"/>
    <w:rsid w:val="00DC2966"/>
    <w:rsid w:val="00DD1299"/>
    <w:rsid w:val="00DD16EE"/>
    <w:rsid w:val="00DD2F01"/>
    <w:rsid w:val="00DD4880"/>
    <w:rsid w:val="00DD7C41"/>
    <w:rsid w:val="00DE37D5"/>
    <w:rsid w:val="00DE37D8"/>
    <w:rsid w:val="00DE5E02"/>
    <w:rsid w:val="00DF1518"/>
    <w:rsid w:val="00DF2D33"/>
    <w:rsid w:val="00DF664F"/>
    <w:rsid w:val="00DF6D1B"/>
    <w:rsid w:val="00E02E0D"/>
    <w:rsid w:val="00E0378D"/>
    <w:rsid w:val="00E0463A"/>
    <w:rsid w:val="00E050DC"/>
    <w:rsid w:val="00E069D3"/>
    <w:rsid w:val="00E07216"/>
    <w:rsid w:val="00E10F23"/>
    <w:rsid w:val="00E1286F"/>
    <w:rsid w:val="00E14816"/>
    <w:rsid w:val="00E15DB6"/>
    <w:rsid w:val="00E164B4"/>
    <w:rsid w:val="00E20B05"/>
    <w:rsid w:val="00E21060"/>
    <w:rsid w:val="00E23B0B"/>
    <w:rsid w:val="00E25667"/>
    <w:rsid w:val="00E265F6"/>
    <w:rsid w:val="00E334D4"/>
    <w:rsid w:val="00E33D7C"/>
    <w:rsid w:val="00E367E9"/>
    <w:rsid w:val="00E37EEE"/>
    <w:rsid w:val="00E401F3"/>
    <w:rsid w:val="00E42EE0"/>
    <w:rsid w:val="00E439D5"/>
    <w:rsid w:val="00E461BC"/>
    <w:rsid w:val="00E47ACF"/>
    <w:rsid w:val="00E51650"/>
    <w:rsid w:val="00E57270"/>
    <w:rsid w:val="00E573F7"/>
    <w:rsid w:val="00E60DE3"/>
    <w:rsid w:val="00E62321"/>
    <w:rsid w:val="00E642A2"/>
    <w:rsid w:val="00E649ED"/>
    <w:rsid w:val="00E65EB7"/>
    <w:rsid w:val="00E66E95"/>
    <w:rsid w:val="00E67867"/>
    <w:rsid w:val="00E70DB2"/>
    <w:rsid w:val="00E72016"/>
    <w:rsid w:val="00E74DBC"/>
    <w:rsid w:val="00E8204B"/>
    <w:rsid w:val="00E82771"/>
    <w:rsid w:val="00E83F19"/>
    <w:rsid w:val="00E875ED"/>
    <w:rsid w:val="00E91040"/>
    <w:rsid w:val="00E925EA"/>
    <w:rsid w:val="00E9348F"/>
    <w:rsid w:val="00E93BE9"/>
    <w:rsid w:val="00E96173"/>
    <w:rsid w:val="00E97348"/>
    <w:rsid w:val="00E97524"/>
    <w:rsid w:val="00EA094D"/>
    <w:rsid w:val="00EA2A1B"/>
    <w:rsid w:val="00EA35A0"/>
    <w:rsid w:val="00EA647D"/>
    <w:rsid w:val="00EB0242"/>
    <w:rsid w:val="00EB257E"/>
    <w:rsid w:val="00EB3763"/>
    <w:rsid w:val="00EB4003"/>
    <w:rsid w:val="00EB5A70"/>
    <w:rsid w:val="00EB66B3"/>
    <w:rsid w:val="00EC2657"/>
    <w:rsid w:val="00EC5D9C"/>
    <w:rsid w:val="00ED2ECD"/>
    <w:rsid w:val="00ED54C7"/>
    <w:rsid w:val="00ED7E7D"/>
    <w:rsid w:val="00EE1EB7"/>
    <w:rsid w:val="00EE2E09"/>
    <w:rsid w:val="00EE2E8B"/>
    <w:rsid w:val="00EE6892"/>
    <w:rsid w:val="00EE7F53"/>
    <w:rsid w:val="00EF1A7C"/>
    <w:rsid w:val="00EF5BF9"/>
    <w:rsid w:val="00EF736C"/>
    <w:rsid w:val="00F0025B"/>
    <w:rsid w:val="00F02387"/>
    <w:rsid w:val="00F0263E"/>
    <w:rsid w:val="00F04469"/>
    <w:rsid w:val="00F05929"/>
    <w:rsid w:val="00F070AC"/>
    <w:rsid w:val="00F07943"/>
    <w:rsid w:val="00F1025B"/>
    <w:rsid w:val="00F116FC"/>
    <w:rsid w:val="00F136C1"/>
    <w:rsid w:val="00F172FD"/>
    <w:rsid w:val="00F23967"/>
    <w:rsid w:val="00F23FA7"/>
    <w:rsid w:val="00F31009"/>
    <w:rsid w:val="00F31A08"/>
    <w:rsid w:val="00F34092"/>
    <w:rsid w:val="00F35157"/>
    <w:rsid w:val="00F376F8"/>
    <w:rsid w:val="00F40F53"/>
    <w:rsid w:val="00F427CB"/>
    <w:rsid w:val="00F431E2"/>
    <w:rsid w:val="00F4325F"/>
    <w:rsid w:val="00F465AA"/>
    <w:rsid w:val="00F46B64"/>
    <w:rsid w:val="00F47FDB"/>
    <w:rsid w:val="00F5073C"/>
    <w:rsid w:val="00F51F10"/>
    <w:rsid w:val="00F52D7B"/>
    <w:rsid w:val="00F531F4"/>
    <w:rsid w:val="00F532AA"/>
    <w:rsid w:val="00F56BBA"/>
    <w:rsid w:val="00F57722"/>
    <w:rsid w:val="00F62073"/>
    <w:rsid w:val="00F657C6"/>
    <w:rsid w:val="00F65E02"/>
    <w:rsid w:val="00F66575"/>
    <w:rsid w:val="00F67D79"/>
    <w:rsid w:val="00F709C9"/>
    <w:rsid w:val="00F75780"/>
    <w:rsid w:val="00F81988"/>
    <w:rsid w:val="00F854C5"/>
    <w:rsid w:val="00F86E07"/>
    <w:rsid w:val="00F91016"/>
    <w:rsid w:val="00F91E41"/>
    <w:rsid w:val="00F95B7E"/>
    <w:rsid w:val="00F96562"/>
    <w:rsid w:val="00F96C32"/>
    <w:rsid w:val="00FA0263"/>
    <w:rsid w:val="00FA1725"/>
    <w:rsid w:val="00FA23C3"/>
    <w:rsid w:val="00FA2424"/>
    <w:rsid w:val="00FA4971"/>
    <w:rsid w:val="00FA5A28"/>
    <w:rsid w:val="00FB1049"/>
    <w:rsid w:val="00FB35E7"/>
    <w:rsid w:val="00FB48D7"/>
    <w:rsid w:val="00FB4DB8"/>
    <w:rsid w:val="00FB6A42"/>
    <w:rsid w:val="00FB7F79"/>
    <w:rsid w:val="00FC01DD"/>
    <w:rsid w:val="00FC1BE5"/>
    <w:rsid w:val="00FC3DBF"/>
    <w:rsid w:val="00FC72E9"/>
    <w:rsid w:val="00FC7B88"/>
    <w:rsid w:val="00FD68CA"/>
    <w:rsid w:val="00FD787D"/>
    <w:rsid w:val="00FE1024"/>
    <w:rsid w:val="00FE641B"/>
    <w:rsid w:val="00FE7A0A"/>
    <w:rsid w:val="00FF0C1F"/>
    <w:rsid w:val="00FF1858"/>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C27BC"/>
    <w:pPr>
      <w:keepNext/>
      <w:tabs>
        <w:tab w:val="center" w:pos="4680"/>
      </w:tabs>
      <w:suppressAutoHyphens/>
      <w:spacing w:before="360" w:after="240" w:line="240" w:lineRule="atLeast"/>
      <w:jc w:val="center"/>
      <w:outlineLvl w:val="7"/>
    </w:pPr>
    <w:rPr>
      <w:rFonts w:ascii="Palatino Linotype" w:eastAsia="Times New Roman" w:hAnsi="Palatino Linotype" w:cs="Times New Roman"/>
      <w:spacing w:val="-4"/>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E0"/>
    <w:pPr>
      <w:ind w:left="720"/>
      <w:contextualSpacing/>
    </w:pPr>
  </w:style>
  <w:style w:type="paragraph" w:customStyle="1" w:styleId="Default">
    <w:name w:val="Default"/>
    <w:rsid w:val="001B63F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CC27BC"/>
    <w:rPr>
      <w:rFonts w:ascii="Palatino Linotype" w:eastAsia="Times New Roman" w:hAnsi="Palatino Linotype" w:cs="Times New Roman"/>
      <w:spacing w:val="-4"/>
      <w:sz w:val="32"/>
      <w:szCs w:val="36"/>
      <w:lang w:val="fr-FR"/>
    </w:rPr>
  </w:style>
  <w:style w:type="paragraph" w:styleId="BodyText2">
    <w:name w:val="Body Text 2"/>
    <w:basedOn w:val="Normal"/>
    <w:link w:val="BodyText2Char"/>
    <w:semiHidden/>
    <w:rsid w:val="00CC27BC"/>
    <w:pPr>
      <w:widowControl w:val="0"/>
      <w:tabs>
        <w:tab w:val="center" w:pos="4680"/>
      </w:tabs>
      <w:suppressAutoHyphens/>
      <w:autoSpaceDE w:val="0"/>
      <w:autoSpaceDN w:val="0"/>
      <w:adjustRightInd w:val="0"/>
      <w:spacing w:before="1200" w:after="240" w:line="240" w:lineRule="atLeast"/>
      <w:jc w:val="center"/>
    </w:pPr>
    <w:rPr>
      <w:rFonts w:ascii="Book Antiqua" w:eastAsia="Times New Roman" w:hAnsi="Book Antiqua" w:cs="Times New Roman"/>
      <w:b/>
      <w:bCs/>
      <w:spacing w:val="-4"/>
      <w:sz w:val="36"/>
      <w:szCs w:val="33"/>
    </w:rPr>
  </w:style>
  <w:style w:type="character" w:customStyle="1" w:styleId="BodyText2Char">
    <w:name w:val="Body Text 2 Char"/>
    <w:basedOn w:val="DefaultParagraphFont"/>
    <w:link w:val="BodyText2"/>
    <w:semiHidden/>
    <w:rsid w:val="00CC27BC"/>
    <w:rPr>
      <w:rFonts w:ascii="Book Antiqua" w:eastAsia="Times New Roman" w:hAnsi="Book Antiqua" w:cs="Times New Roman"/>
      <w:b/>
      <w:bCs/>
      <w:spacing w:val="-4"/>
      <w:sz w:val="36"/>
      <w:szCs w:val="33"/>
    </w:rPr>
  </w:style>
  <w:style w:type="character" w:styleId="Hyperlink">
    <w:name w:val="Hyperlink"/>
    <w:basedOn w:val="DefaultParagraphFont"/>
    <w:uiPriority w:val="99"/>
    <w:unhideWhenUsed/>
    <w:rsid w:val="00262C72"/>
    <w:rPr>
      <w:color w:val="0000FF" w:themeColor="hyperlink"/>
      <w:u w:val="single"/>
    </w:rPr>
  </w:style>
  <w:style w:type="paragraph" w:styleId="BalloonText">
    <w:name w:val="Balloon Text"/>
    <w:basedOn w:val="Normal"/>
    <w:link w:val="BalloonTextChar"/>
    <w:uiPriority w:val="99"/>
    <w:semiHidden/>
    <w:unhideWhenUsed/>
    <w:rsid w:val="006A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E8"/>
    <w:rPr>
      <w:rFonts w:ascii="Tahoma" w:hAnsi="Tahoma" w:cs="Tahoma"/>
      <w:sz w:val="16"/>
      <w:szCs w:val="16"/>
    </w:rPr>
  </w:style>
  <w:style w:type="table" w:styleId="TableGrid">
    <w:name w:val="Table Grid"/>
    <w:basedOn w:val="TableNormal"/>
    <w:uiPriority w:val="59"/>
    <w:rsid w:val="00E2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C27BC"/>
    <w:pPr>
      <w:keepNext/>
      <w:tabs>
        <w:tab w:val="center" w:pos="4680"/>
      </w:tabs>
      <w:suppressAutoHyphens/>
      <w:spacing w:before="360" w:after="240" w:line="240" w:lineRule="atLeast"/>
      <w:jc w:val="center"/>
      <w:outlineLvl w:val="7"/>
    </w:pPr>
    <w:rPr>
      <w:rFonts w:ascii="Palatino Linotype" w:eastAsia="Times New Roman" w:hAnsi="Palatino Linotype" w:cs="Times New Roman"/>
      <w:spacing w:val="-4"/>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E0"/>
    <w:pPr>
      <w:ind w:left="720"/>
      <w:contextualSpacing/>
    </w:pPr>
  </w:style>
  <w:style w:type="paragraph" w:customStyle="1" w:styleId="Default">
    <w:name w:val="Default"/>
    <w:rsid w:val="001B63F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CC27BC"/>
    <w:rPr>
      <w:rFonts w:ascii="Palatino Linotype" w:eastAsia="Times New Roman" w:hAnsi="Palatino Linotype" w:cs="Times New Roman"/>
      <w:spacing w:val="-4"/>
      <w:sz w:val="32"/>
      <w:szCs w:val="36"/>
      <w:lang w:val="fr-FR"/>
    </w:rPr>
  </w:style>
  <w:style w:type="paragraph" w:styleId="BodyText2">
    <w:name w:val="Body Text 2"/>
    <w:basedOn w:val="Normal"/>
    <w:link w:val="BodyText2Char"/>
    <w:semiHidden/>
    <w:rsid w:val="00CC27BC"/>
    <w:pPr>
      <w:widowControl w:val="0"/>
      <w:tabs>
        <w:tab w:val="center" w:pos="4680"/>
      </w:tabs>
      <w:suppressAutoHyphens/>
      <w:autoSpaceDE w:val="0"/>
      <w:autoSpaceDN w:val="0"/>
      <w:adjustRightInd w:val="0"/>
      <w:spacing w:before="1200" w:after="240" w:line="240" w:lineRule="atLeast"/>
      <w:jc w:val="center"/>
    </w:pPr>
    <w:rPr>
      <w:rFonts w:ascii="Book Antiqua" w:eastAsia="Times New Roman" w:hAnsi="Book Antiqua" w:cs="Times New Roman"/>
      <w:b/>
      <w:bCs/>
      <w:spacing w:val="-4"/>
      <w:sz w:val="36"/>
      <w:szCs w:val="33"/>
    </w:rPr>
  </w:style>
  <w:style w:type="character" w:customStyle="1" w:styleId="BodyText2Char">
    <w:name w:val="Body Text 2 Char"/>
    <w:basedOn w:val="DefaultParagraphFont"/>
    <w:link w:val="BodyText2"/>
    <w:semiHidden/>
    <w:rsid w:val="00CC27BC"/>
    <w:rPr>
      <w:rFonts w:ascii="Book Antiqua" w:eastAsia="Times New Roman" w:hAnsi="Book Antiqua" w:cs="Times New Roman"/>
      <w:b/>
      <w:bCs/>
      <w:spacing w:val="-4"/>
      <w:sz w:val="36"/>
      <w:szCs w:val="33"/>
    </w:rPr>
  </w:style>
  <w:style w:type="character" w:styleId="Hyperlink">
    <w:name w:val="Hyperlink"/>
    <w:basedOn w:val="DefaultParagraphFont"/>
    <w:uiPriority w:val="99"/>
    <w:unhideWhenUsed/>
    <w:rsid w:val="00262C72"/>
    <w:rPr>
      <w:color w:val="0000FF" w:themeColor="hyperlink"/>
      <w:u w:val="single"/>
    </w:rPr>
  </w:style>
  <w:style w:type="paragraph" w:styleId="BalloonText">
    <w:name w:val="Balloon Text"/>
    <w:basedOn w:val="Normal"/>
    <w:link w:val="BalloonTextChar"/>
    <w:uiPriority w:val="99"/>
    <w:semiHidden/>
    <w:unhideWhenUsed/>
    <w:rsid w:val="006A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E8"/>
    <w:rPr>
      <w:rFonts w:ascii="Tahoma" w:hAnsi="Tahoma" w:cs="Tahoma"/>
      <w:sz w:val="16"/>
      <w:szCs w:val="16"/>
    </w:rPr>
  </w:style>
  <w:style w:type="table" w:styleId="TableGrid">
    <w:name w:val="Table Grid"/>
    <w:basedOn w:val="TableNormal"/>
    <w:uiPriority w:val="59"/>
    <w:rsid w:val="00E2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7268">
      <w:bodyDiv w:val="1"/>
      <w:marLeft w:val="0"/>
      <w:marRight w:val="0"/>
      <w:marTop w:val="0"/>
      <w:marBottom w:val="0"/>
      <w:divBdr>
        <w:top w:val="none" w:sz="0" w:space="0" w:color="auto"/>
        <w:left w:val="none" w:sz="0" w:space="0" w:color="auto"/>
        <w:bottom w:val="none" w:sz="0" w:space="0" w:color="auto"/>
        <w:right w:val="none" w:sz="0" w:space="0" w:color="auto"/>
      </w:divBdr>
      <w:divsChild>
        <w:div w:id="1003974390">
          <w:marLeft w:val="547"/>
          <w:marRight w:val="0"/>
          <w:marTop w:val="115"/>
          <w:marBottom w:val="0"/>
          <w:divBdr>
            <w:top w:val="none" w:sz="0" w:space="0" w:color="auto"/>
            <w:left w:val="none" w:sz="0" w:space="0" w:color="auto"/>
            <w:bottom w:val="none" w:sz="0" w:space="0" w:color="auto"/>
            <w:right w:val="none" w:sz="0" w:space="0" w:color="auto"/>
          </w:divBdr>
        </w:div>
      </w:divsChild>
    </w:div>
    <w:div w:id="922372662">
      <w:bodyDiv w:val="1"/>
      <w:marLeft w:val="0"/>
      <w:marRight w:val="0"/>
      <w:marTop w:val="0"/>
      <w:marBottom w:val="0"/>
      <w:divBdr>
        <w:top w:val="none" w:sz="0" w:space="0" w:color="auto"/>
        <w:left w:val="none" w:sz="0" w:space="0" w:color="auto"/>
        <w:bottom w:val="none" w:sz="0" w:space="0" w:color="auto"/>
        <w:right w:val="none" w:sz="0" w:space="0" w:color="auto"/>
      </w:divBdr>
      <w:divsChild>
        <w:div w:id="1398436253">
          <w:marLeft w:val="0"/>
          <w:marRight w:val="0"/>
          <w:marTop w:val="0"/>
          <w:marBottom w:val="0"/>
          <w:divBdr>
            <w:top w:val="none" w:sz="0" w:space="0" w:color="auto"/>
            <w:left w:val="none" w:sz="0" w:space="0" w:color="auto"/>
            <w:bottom w:val="none" w:sz="0" w:space="0" w:color="auto"/>
            <w:right w:val="none" w:sz="0" w:space="0" w:color="auto"/>
          </w:divBdr>
          <w:divsChild>
            <w:div w:id="784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994">
      <w:bodyDiv w:val="1"/>
      <w:marLeft w:val="0"/>
      <w:marRight w:val="0"/>
      <w:marTop w:val="0"/>
      <w:marBottom w:val="30"/>
      <w:divBdr>
        <w:top w:val="none" w:sz="0" w:space="0" w:color="auto"/>
        <w:left w:val="none" w:sz="0" w:space="0" w:color="auto"/>
        <w:bottom w:val="none" w:sz="0" w:space="0" w:color="auto"/>
        <w:right w:val="none" w:sz="0" w:space="0" w:color="auto"/>
      </w:divBdr>
      <w:divsChild>
        <w:div w:id="656229676">
          <w:marLeft w:val="0"/>
          <w:marRight w:val="0"/>
          <w:marTop w:val="0"/>
          <w:marBottom w:val="0"/>
          <w:divBdr>
            <w:top w:val="none" w:sz="0" w:space="0" w:color="auto"/>
            <w:left w:val="none" w:sz="0" w:space="0" w:color="auto"/>
            <w:bottom w:val="none" w:sz="0" w:space="0" w:color="auto"/>
            <w:right w:val="none" w:sz="0" w:space="0" w:color="auto"/>
          </w:divBdr>
          <w:divsChild>
            <w:div w:id="1243950161">
              <w:marLeft w:val="0"/>
              <w:marRight w:val="0"/>
              <w:marTop w:val="0"/>
              <w:marBottom w:val="0"/>
              <w:divBdr>
                <w:top w:val="none" w:sz="0" w:space="0" w:color="auto"/>
                <w:left w:val="none" w:sz="0" w:space="0" w:color="auto"/>
                <w:bottom w:val="none" w:sz="0" w:space="0" w:color="auto"/>
                <w:right w:val="none" w:sz="0" w:space="0" w:color="auto"/>
              </w:divBdr>
              <w:divsChild>
                <w:div w:id="547033262">
                  <w:marLeft w:val="0"/>
                  <w:marRight w:val="0"/>
                  <w:marTop w:val="0"/>
                  <w:marBottom w:val="0"/>
                  <w:divBdr>
                    <w:top w:val="none" w:sz="0" w:space="0" w:color="auto"/>
                    <w:left w:val="none" w:sz="0" w:space="0" w:color="auto"/>
                    <w:bottom w:val="none" w:sz="0" w:space="0" w:color="auto"/>
                    <w:right w:val="none" w:sz="0" w:space="0" w:color="auto"/>
                  </w:divBdr>
                </w:div>
                <w:div w:id="1941328650">
                  <w:marLeft w:val="0"/>
                  <w:marRight w:val="0"/>
                  <w:marTop w:val="0"/>
                  <w:marBottom w:val="0"/>
                  <w:divBdr>
                    <w:top w:val="none" w:sz="0" w:space="0" w:color="auto"/>
                    <w:left w:val="none" w:sz="0" w:space="0" w:color="auto"/>
                    <w:bottom w:val="none" w:sz="0" w:space="0" w:color="auto"/>
                    <w:right w:val="none" w:sz="0" w:space="0" w:color="auto"/>
                  </w:divBdr>
                  <w:divsChild>
                    <w:div w:id="1132140222">
                      <w:marLeft w:val="0"/>
                      <w:marRight w:val="0"/>
                      <w:marTop w:val="0"/>
                      <w:marBottom w:val="0"/>
                      <w:divBdr>
                        <w:top w:val="none" w:sz="0" w:space="0" w:color="auto"/>
                        <w:left w:val="none" w:sz="0" w:space="0" w:color="auto"/>
                        <w:bottom w:val="none" w:sz="0" w:space="0" w:color="auto"/>
                        <w:right w:val="none" w:sz="0" w:space="0" w:color="auto"/>
                      </w:divBdr>
                      <w:divsChild>
                        <w:div w:id="247231378">
                          <w:marLeft w:val="0"/>
                          <w:marRight w:val="0"/>
                          <w:marTop w:val="0"/>
                          <w:marBottom w:val="0"/>
                          <w:divBdr>
                            <w:top w:val="none" w:sz="0" w:space="0" w:color="auto"/>
                            <w:left w:val="none" w:sz="0" w:space="0" w:color="auto"/>
                            <w:bottom w:val="none" w:sz="0" w:space="0" w:color="auto"/>
                            <w:right w:val="none" w:sz="0" w:space="0" w:color="auto"/>
                          </w:divBdr>
                          <w:divsChild>
                            <w:div w:id="1274635892">
                              <w:marLeft w:val="0"/>
                              <w:marRight w:val="0"/>
                              <w:marTop w:val="0"/>
                              <w:marBottom w:val="0"/>
                              <w:divBdr>
                                <w:top w:val="none" w:sz="0" w:space="0" w:color="auto"/>
                                <w:left w:val="none" w:sz="0" w:space="0" w:color="auto"/>
                                <w:bottom w:val="none" w:sz="0" w:space="0" w:color="auto"/>
                                <w:right w:val="none" w:sz="0" w:space="0" w:color="auto"/>
                              </w:divBdr>
                              <w:divsChild>
                                <w:div w:id="984310182">
                                  <w:marLeft w:val="0"/>
                                  <w:marRight w:val="0"/>
                                  <w:marTop w:val="0"/>
                                  <w:marBottom w:val="0"/>
                                  <w:divBdr>
                                    <w:top w:val="none" w:sz="0" w:space="0" w:color="auto"/>
                                    <w:left w:val="none" w:sz="0" w:space="0" w:color="auto"/>
                                    <w:bottom w:val="none" w:sz="0" w:space="0" w:color="auto"/>
                                    <w:right w:val="none" w:sz="0" w:space="0" w:color="auto"/>
                                  </w:divBdr>
                                  <w:divsChild>
                                    <w:div w:id="986856093">
                                      <w:marLeft w:val="0"/>
                                      <w:marRight w:val="0"/>
                                      <w:marTop w:val="0"/>
                                      <w:marBottom w:val="0"/>
                                      <w:divBdr>
                                        <w:top w:val="none" w:sz="0" w:space="0" w:color="auto"/>
                                        <w:left w:val="none" w:sz="0" w:space="0" w:color="auto"/>
                                        <w:bottom w:val="none" w:sz="0" w:space="0" w:color="auto"/>
                                        <w:right w:val="none" w:sz="0" w:space="0" w:color="auto"/>
                                      </w:divBdr>
                                      <w:divsChild>
                                        <w:div w:id="1909416405">
                                          <w:marLeft w:val="0"/>
                                          <w:marRight w:val="0"/>
                                          <w:marTop w:val="0"/>
                                          <w:marBottom w:val="0"/>
                                          <w:divBdr>
                                            <w:top w:val="none" w:sz="0" w:space="0" w:color="auto"/>
                                            <w:left w:val="none" w:sz="0" w:space="0" w:color="auto"/>
                                            <w:bottom w:val="none" w:sz="0" w:space="0" w:color="auto"/>
                                            <w:right w:val="none" w:sz="0" w:space="0" w:color="auto"/>
                                          </w:divBdr>
                                        </w:div>
                                        <w:div w:id="1888639300">
                                          <w:marLeft w:val="0"/>
                                          <w:marRight w:val="0"/>
                                          <w:marTop w:val="0"/>
                                          <w:marBottom w:val="0"/>
                                          <w:divBdr>
                                            <w:top w:val="none" w:sz="0" w:space="0" w:color="auto"/>
                                            <w:left w:val="none" w:sz="0" w:space="0" w:color="auto"/>
                                            <w:bottom w:val="none" w:sz="0" w:space="0" w:color="auto"/>
                                            <w:right w:val="none" w:sz="0" w:space="0" w:color="auto"/>
                                          </w:divBdr>
                                        </w:div>
                                      </w:divsChild>
                                    </w:div>
                                    <w:div w:id="814182716">
                                      <w:marLeft w:val="0"/>
                                      <w:marRight w:val="4650"/>
                                      <w:marTop w:val="0"/>
                                      <w:marBottom w:val="0"/>
                                      <w:divBdr>
                                        <w:top w:val="none" w:sz="0" w:space="0" w:color="auto"/>
                                        <w:left w:val="none" w:sz="0" w:space="0" w:color="auto"/>
                                        <w:bottom w:val="none" w:sz="0" w:space="0" w:color="auto"/>
                                        <w:right w:val="none" w:sz="0" w:space="0" w:color="auto"/>
                                      </w:divBdr>
                                      <w:divsChild>
                                        <w:div w:id="770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8820-15C7-4260-80CC-A83D0B4A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4369</Words>
  <Characters>24909</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Bernard Leon Muller</dc:creator>
  <cp:lastModifiedBy>Inje Oueslati</cp:lastModifiedBy>
  <cp:revision>2</cp:revision>
  <dcterms:created xsi:type="dcterms:W3CDTF">2013-10-03T21:17:00Z</dcterms:created>
  <dcterms:modified xsi:type="dcterms:W3CDTF">2013-10-03T21:17:00Z</dcterms:modified>
</cp:coreProperties>
</file>