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06" w:rsidRPr="00157FEE" w:rsidRDefault="00510C06" w:rsidP="00510C06">
      <w:pPr>
        <w:pStyle w:val="Title"/>
        <w:rPr>
          <w:rFonts w:ascii="Arial" w:hAnsi="Arial" w:cs="Arial"/>
        </w:rPr>
      </w:pPr>
    </w:p>
    <w:p w:rsidR="00B90A1F" w:rsidRPr="00157FEE" w:rsidRDefault="00B90A1F" w:rsidP="00510C06">
      <w:pPr>
        <w:pStyle w:val="Title"/>
        <w:rPr>
          <w:rFonts w:ascii="Arial" w:hAnsi="Arial" w:cs="Arial"/>
        </w:rPr>
      </w:pPr>
      <w:r w:rsidRPr="00157FEE">
        <w:rPr>
          <w:rFonts w:ascii="Arial" w:hAnsi="Arial" w:cs="Arial"/>
        </w:rPr>
        <w:t xml:space="preserve">Item 3: Membership Engagement Overview </w:t>
      </w:r>
    </w:p>
    <w:p w:rsidR="00B90A1F" w:rsidRPr="00157FEE" w:rsidRDefault="00510C06" w:rsidP="00510C06">
      <w:pPr>
        <w:pStyle w:val="Heading1"/>
        <w:rPr>
          <w:rFonts w:ascii="Arial" w:hAnsi="Arial" w:cs="Arial"/>
        </w:rPr>
      </w:pPr>
      <w:r w:rsidRPr="00157FEE">
        <w:rPr>
          <w:rFonts w:ascii="Arial" w:hAnsi="Arial" w:cs="Arial"/>
        </w:rPr>
        <w:t xml:space="preserve">Summary </w:t>
      </w:r>
    </w:p>
    <w:p w:rsidR="00510C06" w:rsidRPr="00157FEE" w:rsidRDefault="00510C06" w:rsidP="00B90A1F">
      <w:pPr>
        <w:rPr>
          <w:rFonts w:ascii="Arial" w:eastAsia="Times New Roman" w:hAnsi="Arial" w:cs="Arial"/>
          <w:color w:val="222222"/>
          <w:sz w:val="24"/>
          <w:szCs w:val="24"/>
        </w:rPr>
      </w:pPr>
    </w:p>
    <w:p w:rsidR="00B90A1F" w:rsidRPr="00157FEE" w:rsidRDefault="00B90A1F" w:rsidP="00B90A1F">
      <w:pPr>
        <w:rPr>
          <w:rFonts w:ascii="Arial" w:eastAsia="Times New Roman" w:hAnsi="Arial" w:cs="Arial"/>
          <w:color w:val="222222"/>
          <w:szCs w:val="24"/>
        </w:rPr>
      </w:pPr>
      <w:r w:rsidRPr="00157FEE">
        <w:rPr>
          <w:rFonts w:ascii="Arial" w:eastAsia="Times New Roman" w:hAnsi="Arial" w:cs="Arial"/>
          <w:color w:val="222222"/>
          <w:szCs w:val="24"/>
        </w:rPr>
        <w:t xml:space="preserve">Part of the Key Performance Indicators (KPI) of the SLoCaT Secretariat is: (a) the level of SLoCaT member engagement in SLoCaT activities and (b) overall satisfaction of the SLoCaT members with our activities.  </w:t>
      </w:r>
    </w:p>
    <w:p w:rsidR="00B90A1F" w:rsidRPr="00157FEE" w:rsidRDefault="00B90A1F" w:rsidP="00B90A1F">
      <w:pPr>
        <w:rPr>
          <w:rFonts w:ascii="Arial" w:eastAsia="Times New Roman" w:hAnsi="Arial" w:cs="Arial"/>
          <w:color w:val="222222"/>
          <w:szCs w:val="24"/>
        </w:rPr>
      </w:pPr>
    </w:p>
    <w:p w:rsidR="00B90A1F" w:rsidRPr="00157FEE" w:rsidRDefault="00B90A1F" w:rsidP="00B90A1F">
      <w:pPr>
        <w:rPr>
          <w:rFonts w:ascii="Arial" w:eastAsia="Times New Roman" w:hAnsi="Arial" w:cs="Arial"/>
          <w:color w:val="222222"/>
          <w:szCs w:val="24"/>
        </w:rPr>
      </w:pPr>
      <w:r w:rsidRPr="00157FEE">
        <w:rPr>
          <w:rFonts w:ascii="Arial" w:eastAsia="Times New Roman" w:hAnsi="Arial" w:cs="Arial"/>
          <w:color w:val="222222"/>
          <w:szCs w:val="24"/>
        </w:rPr>
        <w:t>In order to understand how SLoCaT members are engaged in SLoCaT activities, SLoCaT Secretariat created an overview of Members Engagement based on six criteria; (i) in-kind contribution, (ii) financial contribution (through Annual Support Fee, project funding, supporting SLoCaT Foundation), (iii)</w:t>
      </w:r>
      <w:r w:rsidR="005654FE">
        <w:rPr>
          <w:rFonts w:ascii="Arial" w:eastAsia="Times New Roman" w:hAnsi="Arial" w:cs="Arial"/>
          <w:color w:val="222222"/>
          <w:szCs w:val="24"/>
        </w:rPr>
        <w:t xml:space="preserve"> </w:t>
      </w:r>
      <w:r w:rsidRPr="00157FEE">
        <w:rPr>
          <w:rFonts w:ascii="Arial" w:eastAsia="Times New Roman" w:hAnsi="Arial" w:cs="Arial"/>
          <w:color w:val="222222"/>
          <w:szCs w:val="24"/>
        </w:rPr>
        <w:t>participation in SLoCaT events/inviting SLoCaT Secretariat to their events, (iv) commenting on SLoCaT documents or SLoCaT facilitated input to external policy papers/documents (v)</w:t>
      </w:r>
      <w:r w:rsidR="005654FE">
        <w:rPr>
          <w:rFonts w:ascii="Arial" w:eastAsia="Times New Roman" w:hAnsi="Arial" w:cs="Arial"/>
          <w:color w:val="222222"/>
          <w:szCs w:val="24"/>
        </w:rPr>
        <w:t xml:space="preserve"> </w:t>
      </w:r>
      <w:r w:rsidRPr="00157FEE">
        <w:rPr>
          <w:rFonts w:ascii="Arial" w:eastAsia="Times New Roman" w:hAnsi="Arial" w:cs="Arial"/>
          <w:color w:val="222222"/>
          <w:szCs w:val="24"/>
        </w:rPr>
        <w:t>participation in SLoCaT Governance and (vi)</w:t>
      </w:r>
      <w:r w:rsidR="005654FE">
        <w:rPr>
          <w:rFonts w:ascii="Arial" w:eastAsia="Times New Roman" w:hAnsi="Arial" w:cs="Arial"/>
          <w:color w:val="222222"/>
          <w:szCs w:val="24"/>
        </w:rPr>
        <w:t xml:space="preserve"> </w:t>
      </w:r>
      <w:r w:rsidRPr="00157FEE">
        <w:rPr>
          <w:rFonts w:ascii="Arial" w:eastAsia="Times New Roman" w:hAnsi="Arial" w:cs="Arial"/>
          <w:color w:val="222222"/>
          <w:szCs w:val="24"/>
        </w:rPr>
        <w:t>providing outreach support</w:t>
      </w:r>
      <w:r w:rsidRPr="00157FEE">
        <w:rPr>
          <w:rFonts w:ascii="Arial" w:hAnsi="Arial" w:cs="Arial"/>
          <w:szCs w:val="24"/>
        </w:rPr>
        <w:t xml:space="preserve"> through Twitter, website and their newsletters</w:t>
      </w:r>
      <w:r w:rsidRPr="00157FEE">
        <w:rPr>
          <w:rFonts w:ascii="Arial" w:eastAsia="Times New Roman" w:hAnsi="Arial" w:cs="Arial"/>
          <w:color w:val="222222"/>
          <w:szCs w:val="24"/>
        </w:rPr>
        <w:t>.  According to the overview; 71 of 91 SLoCaT members (78%) have participated in one or more of SLoCaT’s activities in 2016.  The distribution of SLoCaT members in different categories is presented below:</w:t>
      </w:r>
      <w:r w:rsidRPr="00157FEE">
        <w:rPr>
          <w:rFonts w:ascii="MingLiU" w:eastAsia="MingLiU" w:hAnsi="MingLiU" w:cs="MingLiU"/>
          <w:color w:val="222222"/>
          <w:szCs w:val="24"/>
        </w:rPr>
        <w:br/>
      </w:r>
    </w:p>
    <w:p w:rsidR="00B90A1F" w:rsidRPr="00157FEE" w:rsidRDefault="00B90A1F" w:rsidP="00B90A1F">
      <w:pPr>
        <w:pStyle w:val="ListParagraph"/>
        <w:numPr>
          <w:ilvl w:val="0"/>
          <w:numId w:val="7"/>
        </w:numPr>
        <w:rPr>
          <w:rFonts w:ascii="Arial" w:hAnsi="Arial" w:cs="Arial"/>
          <w:szCs w:val="24"/>
          <w:lang w:val="en-GB"/>
        </w:rPr>
      </w:pPr>
      <w:r w:rsidRPr="00157FEE">
        <w:rPr>
          <w:rFonts w:ascii="Arial" w:hAnsi="Arial" w:cs="Arial"/>
          <w:szCs w:val="24"/>
          <w:lang w:val="en-GB"/>
        </w:rPr>
        <w:t xml:space="preserve">In-Kind Contribution </w:t>
      </w:r>
      <w:r w:rsidRPr="00157FEE">
        <w:rPr>
          <w:rFonts w:ascii="Arial" w:hAnsi="Arial" w:cs="Arial"/>
          <w:b/>
          <w:bCs/>
          <w:szCs w:val="24"/>
          <w:lang w:val="en-GB"/>
        </w:rPr>
        <w:t xml:space="preserve">– 17 </w:t>
      </w:r>
      <w:r w:rsidRPr="00157FEE">
        <w:rPr>
          <w:rFonts w:ascii="Arial" w:hAnsi="Arial" w:cs="Arial"/>
          <w:szCs w:val="24"/>
          <w:lang w:val="en-GB"/>
        </w:rPr>
        <w:t xml:space="preserve">members  </w:t>
      </w:r>
    </w:p>
    <w:p w:rsidR="00B90A1F" w:rsidRPr="00157FEE" w:rsidRDefault="00B90A1F" w:rsidP="00B90A1F">
      <w:pPr>
        <w:pStyle w:val="ListParagraph"/>
        <w:numPr>
          <w:ilvl w:val="0"/>
          <w:numId w:val="7"/>
        </w:numPr>
        <w:rPr>
          <w:rFonts w:ascii="Arial" w:hAnsi="Arial" w:cs="Arial"/>
          <w:szCs w:val="24"/>
          <w:lang w:val="en-GB"/>
        </w:rPr>
      </w:pPr>
      <w:r w:rsidRPr="00157FEE">
        <w:rPr>
          <w:rFonts w:ascii="Arial" w:hAnsi="Arial" w:cs="Arial"/>
          <w:szCs w:val="24"/>
          <w:lang w:val="en-GB"/>
        </w:rPr>
        <w:t>Financial Contribution –</w:t>
      </w:r>
      <w:r w:rsidRPr="00157FEE">
        <w:rPr>
          <w:rFonts w:ascii="Arial" w:hAnsi="Arial" w:cs="Arial"/>
          <w:b/>
          <w:bCs/>
          <w:szCs w:val="24"/>
          <w:lang w:val="en-GB"/>
        </w:rPr>
        <w:t xml:space="preserve"> 34 </w:t>
      </w:r>
      <w:r w:rsidRPr="00157FEE">
        <w:rPr>
          <w:rFonts w:ascii="Arial" w:hAnsi="Arial" w:cs="Arial"/>
          <w:szCs w:val="24"/>
          <w:lang w:val="en-GB"/>
        </w:rPr>
        <w:t>members</w:t>
      </w:r>
    </w:p>
    <w:p w:rsidR="00B90A1F" w:rsidRPr="00157FEE" w:rsidRDefault="00B90A1F" w:rsidP="00B90A1F">
      <w:pPr>
        <w:pStyle w:val="ListParagraph"/>
        <w:numPr>
          <w:ilvl w:val="0"/>
          <w:numId w:val="7"/>
        </w:numPr>
        <w:rPr>
          <w:rFonts w:ascii="Arial" w:hAnsi="Arial" w:cs="Arial"/>
          <w:szCs w:val="24"/>
          <w:lang w:val="en-GB"/>
        </w:rPr>
      </w:pPr>
      <w:r w:rsidRPr="00157FEE">
        <w:rPr>
          <w:rFonts w:ascii="Arial" w:hAnsi="Arial" w:cs="Arial"/>
          <w:szCs w:val="24"/>
          <w:lang w:val="en-GB"/>
        </w:rPr>
        <w:t xml:space="preserve">Events – </w:t>
      </w:r>
      <w:r w:rsidRPr="00157FEE">
        <w:rPr>
          <w:rFonts w:ascii="Arial" w:hAnsi="Arial" w:cs="Arial"/>
          <w:b/>
          <w:bCs/>
          <w:szCs w:val="24"/>
          <w:lang w:val="en-GB"/>
        </w:rPr>
        <w:t>54</w:t>
      </w:r>
      <w:r w:rsidRPr="00157FEE">
        <w:rPr>
          <w:rFonts w:ascii="Arial" w:hAnsi="Arial" w:cs="Arial"/>
          <w:szCs w:val="24"/>
          <w:lang w:val="en-GB"/>
        </w:rPr>
        <w:t xml:space="preserve"> members </w:t>
      </w:r>
    </w:p>
    <w:p w:rsidR="00B90A1F" w:rsidRPr="00157FEE" w:rsidRDefault="00B90A1F" w:rsidP="00B90A1F">
      <w:pPr>
        <w:pStyle w:val="ListParagraph"/>
        <w:numPr>
          <w:ilvl w:val="0"/>
          <w:numId w:val="7"/>
        </w:numPr>
        <w:rPr>
          <w:rFonts w:ascii="Arial" w:hAnsi="Arial" w:cs="Arial"/>
          <w:szCs w:val="24"/>
          <w:lang w:val="en-GB"/>
        </w:rPr>
      </w:pPr>
      <w:r w:rsidRPr="00157FEE">
        <w:rPr>
          <w:rFonts w:ascii="Arial" w:hAnsi="Arial" w:cs="Arial"/>
          <w:szCs w:val="24"/>
          <w:lang w:val="en-GB"/>
        </w:rPr>
        <w:t>Commenting –</w:t>
      </w:r>
      <w:r w:rsidRPr="00157FEE">
        <w:rPr>
          <w:rFonts w:ascii="Arial" w:hAnsi="Arial" w:cs="Arial"/>
          <w:b/>
          <w:bCs/>
          <w:szCs w:val="24"/>
          <w:lang w:val="en-GB"/>
        </w:rPr>
        <w:t xml:space="preserve">46 </w:t>
      </w:r>
      <w:r w:rsidRPr="00157FEE">
        <w:rPr>
          <w:rFonts w:ascii="Arial" w:hAnsi="Arial" w:cs="Arial"/>
          <w:szCs w:val="24"/>
          <w:lang w:val="en-GB"/>
        </w:rPr>
        <w:t xml:space="preserve">members </w:t>
      </w:r>
    </w:p>
    <w:p w:rsidR="00B90A1F" w:rsidRPr="00157FEE" w:rsidRDefault="00B90A1F" w:rsidP="00B90A1F">
      <w:pPr>
        <w:pStyle w:val="ListParagraph"/>
        <w:numPr>
          <w:ilvl w:val="0"/>
          <w:numId w:val="7"/>
        </w:numPr>
        <w:rPr>
          <w:rFonts w:ascii="Arial" w:hAnsi="Arial" w:cs="Arial"/>
          <w:szCs w:val="24"/>
          <w:lang w:val="en-GB"/>
        </w:rPr>
      </w:pPr>
      <w:r w:rsidRPr="00157FEE">
        <w:rPr>
          <w:rFonts w:ascii="Arial" w:hAnsi="Arial" w:cs="Arial"/>
          <w:szCs w:val="24"/>
          <w:lang w:val="en-GB"/>
        </w:rPr>
        <w:t xml:space="preserve">Governance – </w:t>
      </w:r>
      <w:r w:rsidRPr="00157FEE">
        <w:rPr>
          <w:rFonts w:ascii="Arial" w:hAnsi="Arial" w:cs="Arial"/>
          <w:b/>
          <w:bCs/>
          <w:szCs w:val="24"/>
          <w:lang w:val="en-GB"/>
        </w:rPr>
        <w:t xml:space="preserve">16 </w:t>
      </w:r>
      <w:r w:rsidRPr="00157FEE">
        <w:rPr>
          <w:rFonts w:ascii="Arial" w:hAnsi="Arial" w:cs="Arial"/>
          <w:szCs w:val="24"/>
          <w:lang w:val="en-GB"/>
        </w:rPr>
        <w:t xml:space="preserve">members </w:t>
      </w:r>
    </w:p>
    <w:p w:rsidR="00B90A1F" w:rsidRPr="00157FEE" w:rsidRDefault="00B90A1F" w:rsidP="00B90A1F">
      <w:pPr>
        <w:pStyle w:val="ListParagraph"/>
        <w:numPr>
          <w:ilvl w:val="0"/>
          <w:numId w:val="7"/>
        </w:numPr>
        <w:rPr>
          <w:rFonts w:ascii="Arial" w:hAnsi="Arial" w:cs="Arial"/>
          <w:szCs w:val="24"/>
          <w:lang w:val="en-GB"/>
        </w:rPr>
      </w:pPr>
      <w:r w:rsidRPr="00157FEE">
        <w:rPr>
          <w:rFonts w:ascii="Arial" w:hAnsi="Arial" w:cs="Arial"/>
          <w:szCs w:val="24"/>
          <w:lang w:val="en-GB"/>
        </w:rPr>
        <w:t xml:space="preserve">Outreach support – </w:t>
      </w:r>
      <w:r w:rsidRPr="00157FEE">
        <w:rPr>
          <w:rFonts w:ascii="Arial" w:hAnsi="Arial" w:cs="Arial"/>
          <w:b/>
          <w:bCs/>
          <w:szCs w:val="24"/>
          <w:lang w:val="en-GB"/>
        </w:rPr>
        <w:t xml:space="preserve">24 </w:t>
      </w:r>
      <w:r w:rsidRPr="00157FEE">
        <w:rPr>
          <w:rFonts w:ascii="Arial" w:hAnsi="Arial" w:cs="Arial"/>
          <w:szCs w:val="24"/>
          <w:lang w:val="en-GB"/>
        </w:rPr>
        <w:t xml:space="preserve">members </w:t>
      </w:r>
    </w:p>
    <w:p w:rsidR="00B90A1F" w:rsidRPr="00157FEE" w:rsidRDefault="00B90A1F" w:rsidP="00B90A1F">
      <w:pPr>
        <w:rPr>
          <w:rFonts w:ascii="Arial" w:hAnsi="Arial" w:cs="Arial"/>
          <w:szCs w:val="24"/>
        </w:rPr>
      </w:pPr>
    </w:p>
    <w:p w:rsidR="00B90A1F" w:rsidRPr="00157FEE" w:rsidRDefault="00B90A1F" w:rsidP="00B90A1F">
      <w:pPr>
        <w:rPr>
          <w:rFonts w:ascii="Arial" w:hAnsi="Arial" w:cs="Arial"/>
          <w:szCs w:val="24"/>
        </w:rPr>
      </w:pPr>
      <w:r w:rsidRPr="00157FEE">
        <w:rPr>
          <w:rFonts w:ascii="Arial" w:hAnsi="Arial" w:cs="Arial"/>
          <w:szCs w:val="24"/>
        </w:rPr>
        <w:t xml:space="preserve">Looking at the above numbers, in 2016 </w:t>
      </w:r>
      <w:r w:rsidRPr="00157FEE">
        <w:rPr>
          <w:rFonts w:ascii="Arial" w:hAnsi="Arial" w:cs="Arial"/>
          <w:b/>
          <w:bCs/>
          <w:szCs w:val="24"/>
        </w:rPr>
        <w:t>events</w:t>
      </w:r>
      <w:r w:rsidRPr="00157FEE">
        <w:rPr>
          <w:rFonts w:ascii="Arial" w:hAnsi="Arial" w:cs="Arial"/>
          <w:szCs w:val="24"/>
        </w:rPr>
        <w:t xml:space="preserve"> (</w:t>
      </w:r>
      <w:r w:rsidRPr="00157FEE">
        <w:rPr>
          <w:rFonts w:ascii="Arial" w:hAnsi="Arial" w:cs="Arial"/>
          <w:b/>
          <w:bCs/>
          <w:szCs w:val="24"/>
        </w:rPr>
        <w:t xml:space="preserve">59%) </w:t>
      </w:r>
      <w:r w:rsidRPr="00157FEE">
        <w:rPr>
          <w:rFonts w:ascii="Arial" w:hAnsi="Arial" w:cs="Arial"/>
          <w:szCs w:val="24"/>
        </w:rPr>
        <w:t xml:space="preserve">and </w:t>
      </w:r>
      <w:r w:rsidRPr="00157FEE">
        <w:rPr>
          <w:rFonts w:ascii="Arial" w:hAnsi="Arial" w:cs="Arial"/>
          <w:b/>
          <w:bCs/>
          <w:szCs w:val="24"/>
        </w:rPr>
        <w:t xml:space="preserve">commenting (51%) </w:t>
      </w:r>
      <w:r w:rsidRPr="00157FEE">
        <w:rPr>
          <w:rFonts w:ascii="Arial" w:hAnsi="Arial" w:cs="Arial"/>
          <w:szCs w:val="24"/>
        </w:rPr>
        <w:t xml:space="preserve">were the two activities that had involvement of more than half the of SLoCaT members.  These are followed by members who provided </w:t>
      </w:r>
      <w:r w:rsidRPr="00157FEE">
        <w:rPr>
          <w:rFonts w:ascii="Arial" w:hAnsi="Arial" w:cs="Arial"/>
          <w:b/>
          <w:bCs/>
          <w:szCs w:val="24"/>
        </w:rPr>
        <w:t>financial contribution (37%)</w:t>
      </w:r>
      <w:r w:rsidRPr="00157FEE">
        <w:rPr>
          <w:rFonts w:ascii="Arial" w:hAnsi="Arial" w:cs="Arial"/>
          <w:szCs w:val="24"/>
        </w:rPr>
        <w:t xml:space="preserve"> and </w:t>
      </w:r>
      <w:r w:rsidRPr="00157FEE">
        <w:rPr>
          <w:rFonts w:ascii="Arial" w:hAnsi="Arial" w:cs="Arial"/>
          <w:b/>
          <w:bCs/>
          <w:szCs w:val="24"/>
        </w:rPr>
        <w:t>outreach support (26%)</w:t>
      </w:r>
      <w:r w:rsidRPr="00157FEE">
        <w:rPr>
          <w:rFonts w:ascii="Arial" w:hAnsi="Arial" w:cs="Arial"/>
          <w:szCs w:val="24"/>
        </w:rPr>
        <w:t>.  The two types of activities that get least engagement from SLoCaT members are</w:t>
      </w:r>
      <w:r w:rsidRPr="00157FEE">
        <w:rPr>
          <w:rFonts w:ascii="Arial" w:hAnsi="Arial" w:cs="Arial"/>
          <w:b/>
          <w:bCs/>
          <w:szCs w:val="24"/>
        </w:rPr>
        <w:t xml:space="preserve"> in-kind contribution (19%)</w:t>
      </w:r>
      <w:r w:rsidRPr="00157FEE">
        <w:rPr>
          <w:rFonts w:ascii="Arial" w:hAnsi="Arial" w:cs="Arial"/>
          <w:szCs w:val="24"/>
        </w:rPr>
        <w:t xml:space="preserve"> and </w:t>
      </w:r>
      <w:r w:rsidRPr="00157FEE">
        <w:rPr>
          <w:rFonts w:ascii="Arial" w:hAnsi="Arial" w:cs="Arial"/>
          <w:b/>
          <w:bCs/>
          <w:szCs w:val="24"/>
        </w:rPr>
        <w:t>governance (18%)</w:t>
      </w:r>
      <w:r w:rsidRPr="00157FEE">
        <w:rPr>
          <w:rFonts w:ascii="Arial" w:hAnsi="Arial" w:cs="Arial"/>
          <w:szCs w:val="24"/>
        </w:rPr>
        <w:t>.</w:t>
      </w:r>
    </w:p>
    <w:p w:rsidR="00B90A1F" w:rsidRPr="00157FEE" w:rsidRDefault="00B90A1F" w:rsidP="00510C06">
      <w:pPr>
        <w:pStyle w:val="Heading1"/>
        <w:rPr>
          <w:rFonts w:ascii="Arial" w:hAnsi="Arial" w:cs="Arial"/>
        </w:rPr>
      </w:pPr>
      <w:r w:rsidRPr="00157FEE">
        <w:rPr>
          <w:rFonts w:ascii="Arial" w:hAnsi="Arial" w:cs="Arial"/>
        </w:rPr>
        <w:t>Active and Inactive Members of the SLoCaT Partnership</w:t>
      </w:r>
    </w:p>
    <w:p w:rsidR="00157FEE" w:rsidRPr="00157FEE" w:rsidRDefault="00157FEE" w:rsidP="00B90A1F">
      <w:pPr>
        <w:rPr>
          <w:rFonts w:ascii="Arial" w:hAnsi="Arial" w:cs="Arial"/>
          <w:sz w:val="24"/>
          <w:szCs w:val="24"/>
          <w:lang w:val="en-GB"/>
        </w:rPr>
      </w:pPr>
    </w:p>
    <w:p w:rsidR="00B90A1F" w:rsidRPr="00157FEE" w:rsidRDefault="00B90A1F" w:rsidP="00B90A1F">
      <w:pPr>
        <w:rPr>
          <w:rFonts w:ascii="Arial" w:hAnsi="Arial" w:cs="Arial"/>
          <w:lang w:val="en-GB"/>
        </w:rPr>
      </w:pPr>
      <w:r w:rsidRPr="00157FEE">
        <w:rPr>
          <w:rFonts w:ascii="Arial" w:hAnsi="Arial" w:cs="Arial"/>
          <w:lang w:val="en-GB"/>
        </w:rPr>
        <w:t xml:space="preserve">Based on the number of activities each member is engaged in, the distribution of SLoCaT members by activeness level shows that; </w:t>
      </w:r>
    </w:p>
    <w:p w:rsidR="00B90A1F" w:rsidRPr="00157FEE" w:rsidRDefault="00B90A1F" w:rsidP="00B90A1F">
      <w:pPr>
        <w:rPr>
          <w:rFonts w:ascii="Arial" w:hAnsi="Arial" w:cs="Arial"/>
          <w:lang w:val="en-GB"/>
        </w:rPr>
      </w:pPr>
    </w:p>
    <w:p w:rsidR="00B90A1F" w:rsidRPr="00157FEE" w:rsidRDefault="00B90A1F" w:rsidP="00B90A1F">
      <w:pPr>
        <w:pStyle w:val="ListParagraph"/>
        <w:numPr>
          <w:ilvl w:val="0"/>
          <w:numId w:val="8"/>
        </w:numPr>
        <w:ind w:left="360"/>
        <w:rPr>
          <w:rFonts w:ascii="Arial" w:hAnsi="Arial" w:cs="Arial"/>
          <w:lang w:val="en-GB"/>
        </w:rPr>
      </w:pPr>
      <w:r w:rsidRPr="00157FEE">
        <w:rPr>
          <w:rFonts w:ascii="Arial" w:hAnsi="Arial" w:cs="Arial"/>
          <w:b/>
          <w:bCs/>
          <w:lang w:val="en-GB"/>
        </w:rPr>
        <w:t>8 members are very active</w:t>
      </w:r>
      <w:r w:rsidRPr="00157FEE">
        <w:rPr>
          <w:rFonts w:ascii="Arial" w:hAnsi="Arial" w:cs="Arial"/>
          <w:lang w:val="en-GB"/>
        </w:rPr>
        <w:t xml:space="preserve"> in SLoCaT Partnership (these members have participated in 5 or 6 types of activities in 2016)</w:t>
      </w:r>
    </w:p>
    <w:p w:rsidR="00B90A1F" w:rsidRPr="00157FEE" w:rsidRDefault="00B90A1F" w:rsidP="00B90A1F">
      <w:pPr>
        <w:pStyle w:val="ListParagraph"/>
        <w:numPr>
          <w:ilvl w:val="0"/>
          <w:numId w:val="8"/>
        </w:numPr>
        <w:ind w:left="360"/>
        <w:rPr>
          <w:rFonts w:ascii="Arial" w:hAnsi="Arial" w:cs="Arial"/>
          <w:b/>
          <w:bCs/>
          <w:noProof/>
        </w:rPr>
      </w:pPr>
      <w:r w:rsidRPr="00157FEE">
        <w:rPr>
          <w:rFonts w:ascii="Arial" w:hAnsi="Arial" w:cs="Arial"/>
          <w:b/>
          <w:bCs/>
          <w:noProof/>
        </w:rPr>
        <w:t xml:space="preserve">25 members are active </w:t>
      </w:r>
      <w:r w:rsidRPr="00157FEE">
        <w:rPr>
          <w:rFonts w:ascii="Arial" w:hAnsi="Arial" w:cs="Arial"/>
          <w:noProof/>
        </w:rPr>
        <w:t>in SLoCaT Partnership (these members have participated in 3 or 4 types of activities)</w:t>
      </w:r>
    </w:p>
    <w:p w:rsidR="00B90A1F" w:rsidRPr="00157FEE" w:rsidRDefault="00B90A1F" w:rsidP="00B90A1F">
      <w:pPr>
        <w:pStyle w:val="ListParagraph"/>
        <w:numPr>
          <w:ilvl w:val="0"/>
          <w:numId w:val="8"/>
        </w:numPr>
        <w:ind w:left="360"/>
        <w:rPr>
          <w:rFonts w:ascii="Arial" w:hAnsi="Arial" w:cs="Arial"/>
          <w:b/>
          <w:bCs/>
          <w:noProof/>
        </w:rPr>
      </w:pPr>
      <w:r w:rsidRPr="00157FEE">
        <w:rPr>
          <w:rFonts w:ascii="Arial" w:hAnsi="Arial" w:cs="Arial"/>
          <w:b/>
          <w:bCs/>
          <w:noProof/>
        </w:rPr>
        <w:lastRenderedPageBreak/>
        <w:t xml:space="preserve">38 members are somewhat active </w:t>
      </w:r>
      <w:r w:rsidRPr="00157FEE">
        <w:rPr>
          <w:rFonts w:ascii="Arial" w:hAnsi="Arial" w:cs="Arial"/>
          <w:noProof/>
        </w:rPr>
        <w:t>in SLoCaT Partnership  (these members have participated in  1 or 2 types of activities)</w:t>
      </w:r>
    </w:p>
    <w:p w:rsidR="00B90A1F" w:rsidRPr="00157FEE" w:rsidRDefault="00B90A1F" w:rsidP="00B90A1F">
      <w:pPr>
        <w:pStyle w:val="ListParagraph"/>
        <w:numPr>
          <w:ilvl w:val="0"/>
          <w:numId w:val="8"/>
        </w:numPr>
        <w:ind w:left="360"/>
        <w:rPr>
          <w:rFonts w:ascii="Arial" w:hAnsi="Arial" w:cs="Arial"/>
          <w:b/>
          <w:bCs/>
          <w:noProof/>
        </w:rPr>
      </w:pPr>
      <w:r w:rsidRPr="00157FEE">
        <w:rPr>
          <w:rFonts w:ascii="Arial" w:hAnsi="Arial" w:cs="Arial"/>
          <w:b/>
          <w:bCs/>
          <w:noProof/>
        </w:rPr>
        <w:t xml:space="preserve">20 members are inactive in SLoCaT Partnership </w:t>
      </w:r>
      <w:r w:rsidRPr="00157FEE">
        <w:rPr>
          <w:rFonts w:ascii="Arial" w:hAnsi="Arial" w:cs="Arial"/>
          <w:noProof/>
        </w:rPr>
        <w:t xml:space="preserve">(these members have not participated in any SLoCaT activities in 2016) </w:t>
      </w:r>
    </w:p>
    <w:p w:rsidR="00B90A1F" w:rsidRPr="00157FEE" w:rsidRDefault="00B90A1F" w:rsidP="00B90A1F">
      <w:pPr>
        <w:rPr>
          <w:rFonts w:ascii="Arial" w:hAnsi="Arial" w:cs="Arial"/>
        </w:rPr>
      </w:pPr>
    </w:p>
    <w:p w:rsidR="00B90A1F" w:rsidRPr="00157FEE" w:rsidRDefault="00B90A1F" w:rsidP="00B90A1F">
      <w:pPr>
        <w:rPr>
          <w:rFonts w:ascii="Arial" w:hAnsi="Arial" w:cs="Arial"/>
          <w:b/>
          <w:bCs/>
          <w:lang w:val="en-GB"/>
        </w:rPr>
      </w:pPr>
      <w:r w:rsidRPr="00157FEE">
        <w:rPr>
          <w:rFonts w:ascii="Arial" w:hAnsi="Arial" w:cs="Arial"/>
          <w:bCs/>
          <w:lang w:val="en-GB"/>
        </w:rPr>
        <w:t xml:space="preserve">Based on the number of different </w:t>
      </w:r>
      <w:r w:rsidR="00157FEE" w:rsidRPr="00157FEE">
        <w:rPr>
          <w:rFonts w:ascii="Arial" w:hAnsi="Arial" w:cs="Arial"/>
          <w:bCs/>
          <w:lang w:val="en-GB"/>
        </w:rPr>
        <w:t>categories</w:t>
      </w:r>
      <w:r w:rsidRPr="00157FEE">
        <w:rPr>
          <w:rFonts w:ascii="Arial" w:hAnsi="Arial" w:cs="Arial"/>
          <w:bCs/>
          <w:lang w:val="en-GB"/>
        </w:rPr>
        <w:t xml:space="preserve"> of activities they engage in,</w:t>
      </w:r>
      <w:r w:rsidRPr="00157FEE">
        <w:rPr>
          <w:rFonts w:ascii="Arial" w:hAnsi="Arial" w:cs="Arial"/>
          <w:b/>
          <w:bCs/>
          <w:lang w:val="en-GB"/>
        </w:rPr>
        <w:t xml:space="preserve"> the 8 most active members of the SLoCaT Partnership are presented below:</w:t>
      </w:r>
    </w:p>
    <w:p w:rsidR="00B90A1F" w:rsidRPr="00157FEE" w:rsidRDefault="00B90A1F" w:rsidP="00B90A1F">
      <w:pPr>
        <w:rPr>
          <w:rFonts w:ascii="Arial" w:hAnsi="Arial" w:cs="Arial"/>
          <w:b/>
          <w:bCs/>
          <w:lang w:val="en-GB"/>
        </w:rPr>
      </w:pPr>
    </w:p>
    <w:tbl>
      <w:tblPr>
        <w:tblStyle w:val="LightShading-Accent11"/>
        <w:tblW w:w="9948" w:type="dxa"/>
        <w:tblBorders>
          <w:top w:val="none" w:sz="0" w:space="0" w:color="auto"/>
          <w:bottom w:val="none" w:sz="0" w:space="0" w:color="auto"/>
        </w:tblBorders>
        <w:tblLook w:val="04A0"/>
      </w:tblPr>
      <w:tblGrid>
        <w:gridCol w:w="6486"/>
        <w:gridCol w:w="3462"/>
      </w:tblGrid>
      <w:tr w:rsidR="00B90A1F" w:rsidRPr="00157FEE" w:rsidTr="005B5DB9">
        <w:trPr>
          <w:cnfStyle w:val="100000000000"/>
          <w:trHeight w:val="517"/>
        </w:trPr>
        <w:tc>
          <w:tcPr>
            <w:cnfStyle w:val="001000000000"/>
            <w:tcW w:w="6486" w:type="dxa"/>
            <w:tcBorders>
              <w:top w:val="single" w:sz="4" w:space="0" w:color="5B9BD5" w:themeColor="accent1"/>
              <w:left w:val="none" w:sz="0" w:space="0" w:color="auto"/>
              <w:bottom w:val="single" w:sz="4" w:space="0" w:color="5B9BD5" w:themeColor="accent1"/>
              <w:right w:val="none" w:sz="0" w:space="0" w:color="auto"/>
            </w:tcBorders>
            <w:shd w:val="clear" w:color="auto" w:fill="auto"/>
            <w:hideMark/>
          </w:tcPr>
          <w:p w:rsidR="00B90A1F" w:rsidRPr="00157FEE" w:rsidRDefault="00B90A1F" w:rsidP="005B5DB9">
            <w:pPr>
              <w:rPr>
                <w:rFonts w:ascii="Arial" w:hAnsi="Arial" w:cs="Arial"/>
              </w:rPr>
            </w:pPr>
            <w:r w:rsidRPr="00157FEE">
              <w:rPr>
                <w:rFonts w:ascii="Arial" w:hAnsi="Arial" w:cs="Arial"/>
              </w:rPr>
              <w:t>SLoCaT Member</w:t>
            </w:r>
          </w:p>
        </w:tc>
        <w:tc>
          <w:tcPr>
            <w:tcW w:w="3462" w:type="dxa"/>
            <w:tcBorders>
              <w:top w:val="single" w:sz="4" w:space="0" w:color="5B9BD5" w:themeColor="accent1"/>
              <w:left w:val="none" w:sz="0" w:space="0" w:color="auto"/>
              <w:bottom w:val="single" w:sz="4" w:space="0" w:color="5B9BD5" w:themeColor="accent1"/>
              <w:right w:val="none" w:sz="0" w:space="0" w:color="auto"/>
            </w:tcBorders>
            <w:shd w:val="clear" w:color="auto" w:fill="auto"/>
          </w:tcPr>
          <w:p w:rsidR="00B90A1F" w:rsidRPr="00157FEE" w:rsidRDefault="00B90A1F" w:rsidP="005B5DB9">
            <w:pPr>
              <w:cnfStyle w:val="100000000000"/>
              <w:rPr>
                <w:rFonts w:ascii="Arial" w:hAnsi="Arial" w:cs="Arial"/>
              </w:rPr>
            </w:pPr>
            <w:r w:rsidRPr="00157FEE">
              <w:rPr>
                <w:rFonts w:ascii="Arial" w:hAnsi="Arial" w:cs="Arial"/>
              </w:rPr>
              <w:t>Number Categories of Interactions in 2016</w:t>
            </w:r>
          </w:p>
        </w:tc>
      </w:tr>
      <w:tr w:rsidR="00B90A1F" w:rsidRPr="00157FEE" w:rsidTr="005B5DB9">
        <w:trPr>
          <w:cnfStyle w:val="000000100000"/>
          <w:trHeight w:val="19"/>
        </w:trPr>
        <w:tc>
          <w:tcPr>
            <w:cnfStyle w:val="001000000000"/>
            <w:tcW w:w="6486" w:type="dxa"/>
            <w:tcBorders>
              <w:top w:val="single" w:sz="4" w:space="0" w:color="5B9BD5" w:themeColor="accent1"/>
              <w:left w:val="none" w:sz="0" w:space="0" w:color="auto"/>
              <w:right w:val="none" w:sz="0" w:space="0" w:color="auto"/>
            </w:tcBorders>
            <w:hideMark/>
          </w:tcPr>
          <w:p w:rsidR="00B90A1F" w:rsidRPr="00157FEE" w:rsidRDefault="00B90A1F" w:rsidP="005B5DB9">
            <w:pPr>
              <w:pStyle w:val="ListParagraph"/>
              <w:numPr>
                <w:ilvl w:val="0"/>
                <w:numId w:val="12"/>
              </w:numPr>
              <w:ind w:left="360"/>
              <w:rPr>
                <w:rFonts w:ascii="Arial" w:hAnsi="Arial" w:cs="Arial"/>
                <w:b w:val="0"/>
                <w:bCs w:val="0"/>
              </w:rPr>
            </w:pPr>
            <w:r w:rsidRPr="00157FEE">
              <w:rPr>
                <w:rFonts w:ascii="Arial" w:hAnsi="Arial" w:cs="Arial"/>
                <w:b w:val="0"/>
                <w:bCs w:val="0"/>
              </w:rPr>
              <w:t>Deutsche Gesellschaft für Internationale Zusammenarbeit (GIZ)</w:t>
            </w:r>
          </w:p>
        </w:tc>
        <w:tc>
          <w:tcPr>
            <w:tcW w:w="3462" w:type="dxa"/>
            <w:tcBorders>
              <w:top w:val="single" w:sz="4" w:space="0" w:color="5B9BD5" w:themeColor="accent1"/>
              <w:left w:val="none" w:sz="0" w:space="0" w:color="auto"/>
              <w:right w:val="none" w:sz="0" w:space="0" w:color="auto"/>
            </w:tcBorders>
          </w:tcPr>
          <w:p w:rsidR="00B90A1F" w:rsidRPr="00157FEE" w:rsidRDefault="00B90A1F" w:rsidP="005B5DB9">
            <w:pPr>
              <w:jc w:val="center"/>
              <w:cnfStyle w:val="000000100000"/>
              <w:rPr>
                <w:rFonts w:ascii="Arial" w:hAnsi="Arial" w:cs="Arial"/>
              </w:rPr>
            </w:pPr>
            <w:r w:rsidRPr="00157FEE">
              <w:rPr>
                <w:rFonts w:ascii="Arial" w:hAnsi="Arial" w:cs="Arial"/>
              </w:rPr>
              <w:t>6</w:t>
            </w:r>
          </w:p>
        </w:tc>
      </w:tr>
      <w:tr w:rsidR="00B90A1F" w:rsidRPr="00157FEE" w:rsidTr="005B5DB9">
        <w:trPr>
          <w:trHeight w:val="19"/>
        </w:trPr>
        <w:tc>
          <w:tcPr>
            <w:cnfStyle w:val="001000000000"/>
            <w:tcW w:w="6486" w:type="dxa"/>
            <w:hideMark/>
          </w:tcPr>
          <w:p w:rsidR="00B90A1F" w:rsidRPr="00157FEE" w:rsidRDefault="00B90A1F" w:rsidP="005B5DB9">
            <w:pPr>
              <w:pStyle w:val="ListParagraph"/>
              <w:numPr>
                <w:ilvl w:val="0"/>
                <w:numId w:val="12"/>
              </w:numPr>
              <w:ind w:left="360"/>
              <w:rPr>
                <w:rFonts w:ascii="Arial" w:hAnsi="Arial" w:cs="Arial"/>
                <w:b w:val="0"/>
                <w:bCs w:val="0"/>
              </w:rPr>
            </w:pPr>
            <w:r w:rsidRPr="00157FEE">
              <w:rPr>
                <w:rFonts w:ascii="Arial" w:hAnsi="Arial" w:cs="Arial"/>
                <w:b w:val="0"/>
                <w:bCs w:val="0"/>
              </w:rPr>
              <w:t>EMBARQ, The World Resources institute (WRI) Ross Center for Sustainable Cities</w:t>
            </w:r>
          </w:p>
        </w:tc>
        <w:tc>
          <w:tcPr>
            <w:tcW w:w="3462" w:type="dxa"/>
          </w:tcPr>
          <w:p w:rsidR="00B90A1F" w:rsidRPr="00157FEE" w:rsidRDefault="00B90A1F" w:rsidP="005B5DB9">
            <w:pPr>
              <w:jc w:val="center"/>
              <w:cnfStyle w:val="000000000000"/>
              <w:rPr>
                <w:rFonts w:ascii="Arial" w:hAnsi="Arial" w:cs="Arial"/>
              </w:rPr>
            </w:pPr>
            <w:r w:rsidRPr="00157FEE">
              <w:rPr>
                <w:rFonts w:ascii="Arial" w:hAnsi="Arial" w:cs="Arial"/>
              </w:rPr>
              <w:t>6</w:t>
            </w:r>
          </w:p>
        </w:tc>
      </w:tr>
      <w:tr w:rsidR="00B90A1F" w:rsidRPr="00157FEE" w:rsidTr="005B5DB9">
        <w:trPr>
          <w:cnfStyle w:val="000000100000"/>
          <w:trHeight w:val="19"/>
        </w:trPr>
        <w:tc>
          <w:tcPr>
            <w:cnfStyle w:val="001000000000"/>
            <w:tcW w:w="6486" w:type="dxa"/>
            <w:tcBorders>
              <w:left w:val="none" w:sz="0" w:space="0" w:color="auto"/>
              <w:right w:val="none" w:sz="0" w:space="0" w:color="auto"/>
            </w:tcBorders>
            <w:hideMark/>
          </w:tcPr>
          <w:p w:rsidR="00B90A1F" w:rsidRPr="00157FEE" w:rsidRDefault="00B90A1F" w:rsidP="005B5DB9">
            <w:pPr>
              <w:pStyle w:val="ListParagraph"/>
              <w:numPr>
                <w:ilvl w:val="0"/>
                <w:numId w:val="12"/>
              </w:numPr>
              <w:ind w:left="360"/>
              <w:rPr>
                <w:rFonts w:ascii="Arial" w:hAnsi="Arial" w:cs="Arial"/>
                <w:b w:val="0"/>
                <w:bCs w:val="0"/>
              </w:rPr>
            </w:pPr>
            <w:r w:rsidRPr="00157FEE">
              <w:rPr>
                <w:rFonts w:ascii="Arial" w:hAnsi="Arial" w:cs="Arial"/>
                <w:b w:val="0"/>
                <w:bCs w:val="0"/>
              </w:rPr>
              <w:t>Institute for Transportation and Development Policy (ITDP)</w:t>
            </w:r>
          </w:p>
        </w:tc>
        <w:tc>
          <w:tcPr>
            <w:tcW w:w="3462" w:type="dxa"/>
            <w:tcBorders>
              <w:left w:val="none" w:sz="0" w:space="0" w:color="auto"/>
              <w:right w:val="none" w:sz="0" w:space="0" w:color="auto"/>
            </w:tcBorders>
          </w:tcPr>
          <w:p w:rsidR="00B90A1F" w:rsidRPr="00157FEE" w:rsidRDefault="00B90A1F" w:rsidP="005B5DB9">
            <w:pPr>
              <w:jc w:val="center"/>
              <w:cnfStyle w:val="000000100000"/>
              <w:rPr>
                <w:rFonts w:ascii="Arial" w:hAnsi="Arial" w:cs="Arial"/>
              </w:rPr>
            </w:pPr>
            <w:r w:rsidRPr="00157FEE">
              <w:rPr>
                <w:rFonts w:ascii="Arial" w:hAnsi="Arial" w:cs="Arial"/>
              </w:rPr>
              <w:t>6</w:t>
            </w:r>
          </w:p>
        </w:tc>
      </w:tr>
      <w:tr w:rsidR="00B90A1F" w:rsidRPr="00157FEE" w:rsidTr="005B5DB9">
        <w:trPr>
          <w:trHeight w:val="19"/>
        </w:trPr>
        <w:tc>
          <w:tcPr>
            <w:cnfStyle w:val="001000000000"/>
            <w:tcW w:w="6486" w:type="dxa"/>
            <w:hideMark/>
          </w:tcPr>
          <w:p w:rsidR="00B90A1F" w:rsidRPr="00157FEE" w:rsidRDefault="00B90A1F" w:rsidP="005B5DB9">
            <w:pPr>
              <w:pStyle w:val="ListParagraph"/>
              <w:numPr>
                <w:ilvl w:val="0"/>
                <w:numId w:val="12"/>
              </w:numPr>
              <w:ind w:left="360"/>
              <w:rPr>
                <w:rFonts w:ascii="Arial" w:hAnsi="Arial" w:cs="Arial"/>
                <w:b w:val="0"/>
                <w:bCs w:val="0"/>
              </w:rPr>
            </w:pPr>
            <w:r w:rsidRPr="00157FEE">
              <w:rPr>
                <w:rFonts w:ascii="Arial" w:hAnsi="Arial" w:cs="Arial"/>
                <w:b w:val="0"/>
                <w:bCs w:val="0"/>
              </w:rPr>
              <w:t>International Association for Public Transport (UITP)</w:t>
            </w:r>
          </w:p>
        </w:tc>
        <w:tc>
          <w:tcPr>
            <w:tcW w:w="3462" w:type="dxa"/>
          </w:tcPr>
          <w:p w:rsidR="00B90A1F" w:rsidRPr="00157FEE" w:rsidRDefault="00B90A1F" w:rsidP="005B5DB9">
            <w:pPr>
              <w:jc w:val="center"/>
              <w:cnfStyle w:val="000000000000"/>
              <w:rPr>
                <w:rFonts w:ascii="Arial" w:hAnsi="Arial" w:cs="Arial"/>
              </w:rPr>
            </w:pPr>
            <w:r w:rsidRPr="00157FEE">
              <w:rPr>
                <w:rFonts w:ascii="Arial" w:hAnsi="Arial" w:cs="Arial"/>
              </w:rPr>
              <w:t>6</w:t>
            </w:r>
          </w:p>
        </w:tc>
      </w:tr>
      <w:tr w:rsidR="00B90A1F" w:rsidRPr="00157FEE" w:rsidTr="005B5DB9">
        <w:trPr>
          <w:cnfStyle w:val="000000100000"/>
          <w:trHeight w:val="19"/>
        </w:trPr>
        <w:tc>
          <w:tcPr>
            <w:cnfStyle w:val="001000000000"/>
            <w:tcW w:w="6486" w:type="dxa"/>
            <w:tcBorders>
              <w:left w:val="none" w:sz="0" w:space="0" w:color="auto"/>
              <w:right w:val="none" w:sz="0" w:space="0" w:color="auto"/>
            </w:tcBorders>
            <w:hideMark/>
          </w:tcPr>
          <w:p w:rsidR="00B90A1F" w:rsidRPr="00157FEE" w:rsidRDefault="00B90A1F" w:rsidP="005B5DB9">
            <w:pPr>
              <w:pStyle w:val="ListParagraph"/>
              <w:numPr>
                <w:ilvl w:val="0"/>
                <w:numId w:val="12"/>
              </w:numPr>
              <w:ind w:left="360"/>
              <w:rPr>
                <w:rFonts w:ascii="Arial" w:hAnsi="Arial" w:cs="Arial"/>
                <w:b w:val="0"/>
                <w:bCs w:val="0"/>
              </w:rPr>
            </w:pPr>
            <w:r w:rsidRPr="00157FEE">
              <w:rPr>
                <w:rFonts w:ascii="Arial" w:hAnsi="Arial" w:cs="Arial"/>
                <w:b w:val="0"/>
                <w:bCs w:val="0"/>
              </w:rPr>
              <w:t>ALSTOM Transport</w:t>
            </w:r>
          </w:p>
        </w:tc>
        <w:tc>
          <w:tcPr>
            <w:tcW w:w="3462" w:type="dxa"/>
            <w:tcBorders>
              <w:left w:val="none" w:sz="0" w:space="0" w:color="auto"/>
              <w:right w:val="none" w:sz="0" w:space="0" w:color="auto"/>
            </w:tcBorders>
          </w:tcPr>
          <w:p w:rsidR="00B90A1F" w:rsidRPr="00157FEE" w:rsidRDefault="00B90A1F" w:rsidP="005B5DB9">
            <w:pPr>
              <w:jc w:val="center"/>
              <w:cnfStyle w:val="000000100000"/>
              <w:rPr>
                <w:rFonts w:ascii="Arial" w:hAnsi="Arial" w:cs="Arial"/>
              </w:rPr>
            </w:pPr>
            <w:r w:rsidRPr="00157FEE">
              <w:rPr>
                <w:rFonts w:ascii="Arial" w:hAnsi="Arial" w:cs="Arial"/>
              </w:rPr>
              <w:t>5</w:t>
            </w:r>
          </w:p>
        </w:tc>
      </w:tr>
      <w:tr w:rsidR="00B90A1F" w:rsidRPr="00157FEE" w:rsidTr="005B5DB9">
        <w:trPr>
          <w:trHeight w:val="19"/>
        </w:trPr>
        <w:tc>
          <w:tcPr>
            <w:cnfStyle w:val="001000000000"/>
            <w:tcW w:w="6486" w:type="dxa"/>
            <w:hideMark/>
          </w:tcPr>
          <w:p w:rsidR="00B90A1F" w:rsidRPr="00157FEE" w:rsidRDefault="00B90A1F" w:rsidP="005B5DB9">
            <w:pPr>
              <w:pStyle w:val="ListParagraph"/>
              <w:numPr>
                <w:ilvl w:val="0"/>
                <w:numId w:val="12"/>
              </w:numPr>
              <w:ind w:left="360"/>
              <w:rPr>
                <w:rFonts w:ascii="Arial" w:hAnsi="Arial" w:cs="Arial"/>
                <w:b w:val="0"/>
                <w:bCs w:val="0"/>
              </w:rPr>
            </w:pPr>
            <w:r w:rsidRPr="00157FEE">
              <w:rPr>
                <w:rFonts w:ascii="Arial" w:hAnsi="Arial" w:cs="Arial"/>
                <w:b w:val="0"/>
                <w:bCs w:val="0"/>
              </w:rPr>
              <w:t>CAF-Development Bank of Latin America</w:t>
            </w:r>
          </w:p>
        </w:tc>
        <w:tc>
          <w:tcPr>
            <w:tcW w:w="3462" w:type="dxa"/>
          </w:tcPr>
          <w:p w:rsidR="00B90A1F" w:rsidRPr="00157FEE" w:rsidRDefault="00B90A1F" w:rsidP="005B5DB9">
            <w:pPr>
              <w:jc w:val="center"/>
              <w:cnfStyle w:val="000000000000"/>
              <w:rPr>
                <w:rFonts w:ascii="Arial" w:hAnsi="Arial" w:cs="Arial"/>
              </w:rPr>
            </w:pPr>
            <w:r w:rsidRPr="00157FEE">
              <w:rPr>
                <w:rFonts w:ascii="Arial" w:hAnsi="Arial" w:cs="Arial"/>
              </w:rPr>
              <w:t>5</w:t>
            </w:r>
          </w:p>
        </w:tc>
      </w:tr>
      <w:tr w:rsidR="00B90A1F" w:rsidRPr="00157FEE" w:rsidTr="005B5DB9">
        <w:trPr>
          <w:cnfStyle w:val="000000100000"/>
          <w:trHeight w:val="19"/>
        </w:trPr>
        <w:tc>
          <w:tcPr>
            <w:cnfStyle w:val="001000000000"/>
            <w:tcW w:w="6486" w:type="dxa"/>
            <w:tcBorders>
              <w:left w:val="none" w:sz="0" w:space="0" w:color="auto"/>
              <w:right w:val="none" w:sz="0" w:space="0" w:color="auto"/>
            </w:tcBorders>
            <w:hideMark/>
          </w:tcPr>
          <w:p w:rsidR="00B90A1F" w:rsidRPr="00157FEE" w:rsidRDefault="00B90A1F" w:rsidP="005B5DB9">
            <w:pPr>
              <w:pStyle w:val="ListParagraph"/>
              <w:numPr>
                <w:ilvl w:val="0"/>
                <w:numId w:val="12"/>
              </w:numPr>
              <w:ind w:left="360"/>
              <w:rPr>
                <w:rFonts w:ascii="Arial" w:hAnsi="Arial" w:cs="Arial"/>
                <w:b w:val="0"/>
                <w:bCs w:val="0"/>
              </w:rPr>
            </w:pPr>
            <w:r w:rsidRPr="00157FEE">
              <w:rPr>
                <w:rFonts w:ascii="Arial" w:hAnsi="Arial" w:cs="Arial"/>
                <w:b w:val="0"/>
                <w:bCs w:val="0"/>
              </w:rPr>
              <w:t>Ford Foundation</w:t>
            </w:r>
          </w:p>
        </w:tc>
        <w:tc>
          <w:tcPr>
            <w:tcW w:w="3462" w:type="dxa"/>
            <w:tcBorders>
              <w:left w:val="none" w:sz="0" w:space="0" w:color="auto"/>
              <w:right w:val="none" w:sz="0" w:space="0" w:color="auto"/>
            </w:tcBorders>
          </w:tcPr>
          <w:p w:rsidR="00B90A1F" w:rsidRPr="00157FEE" w:rsidRDefault="00B90A1F" w:rsidP="005B5DB9">
            <w:pPr>
              <w:jc w:val="center"/>
              <w:cnfStyle w:val="000000100000"/>
              <w:rPr>
                <w:rFonts w:ascii="Arial" w:hAnsi="Arial" w:cs="Arial"/>
              </w:rPr>
            </w:pPr>
            <w:r w:rsidRPr="00157FEE">
              <w:rPr>
                <w:rFonts w:ascii="Arial" w:hAnsi="Arial" w:cs="Arial"/>
              </w:rPr>
              <w:t>5</w:t>
            </w:r>
          </w:p>
        </w:tc>
      </w:tr>
      <w:tr w:rsidR="00B90A1F" w:rsidRPr="00157FEE" w:rsidTr="005B5DB9">
        <w:trPr>
          <w:trHeight w:val="80"/>
        </w:trPr>
        <w:tc>
          <w:tcPr>
            <w:cnfStyle w:val="001000000000"/>
            <w:tcW w:w="6486" w:type="dxa"/>
            <w:hideMark/>
          </w:tcPr>
          <w:p w:rsidR="00B90A1F" w:rsidRPr="00157FEE" w:rsidRDefault="00B90A1F" w:rsidP="005B5DB9">
            <w:pPr>
              <w:pStyle w:val="ListParagraph"/>
              <w:numPr>
                <w:ilvl w:val="0"/>
                <w:numId w:val="12"/>
              </w:numPr>
              <w:ind w:left="360"/>
              <w:rPr>
                <w:rFonts w:ascii="Arial" w:hAnsi="Arial" w:cs="Arial"/>
                <w:b w:val="0"/>
                <w:bCs w:val="0"/>
              </w:rPr>
            </w:pPr>
            <w:r w:rsidRPr="00157FEE">
              <w:rPr>
                <w:rFonts w:ascii="Arial" w:hAnsi="Arial" w:cs="Arial"/>
                <w:b w:val="0"/>
                <w:bCs w:val="0"/>
              </w:rPr>
              <w:t>World Bank</w:t>
            </w:r>
          </w:p>
        </w:tc>
        <w:tc>
          <w:tcPr>
            <w:tcW w:w="3462" w:type="dxa"/>
          </w:tcPr>
          <w:p w:rsidR="00B90A1F" w:rsidRPr="00157FEE" w:rsidRDefault="00B90A1F" w:rsidP="005B5DB9">
            <w:pPr>
              <w:jc w:val="center"/>
              <w:cnfStyle w:val="000000000000"/>
              <w:rPr>
                <w:rFonts w:ascii="Arial" w:hAnsi="Arial" w:cs="Arial"/>
              </w:rPr>
            </w:pPr>
            <w:r w:rsidRPr="00157FEE">
              <w:rPr>
                <w:rFonts w:ascii="Arial" w:hAnsi="Arial" w:cs="Arial"/>
              </w:rPr>
              <w:t>5</w:t>
            </w:r>
          </w:p>
        </w:tc>
      </w:tr>
    </w:tbl>
    <w:p w:rsidR="00B90A1F" w:rsidRPr="00157FEE" w:rsidRDefault="00B90A1F" w:rsidP="00B90A1F">
      <w:pPr>
        <w:rPr>
          <w:rFonts w:ascii="Arial" w:hAnsi="Arial" w:cs="Arial"/>
        </w:rPr>
      </w:pPr>
    </w:p>
    <w:p w:rsidR="00B90A1F" w:rsidRPr="00157FEE" w:rsidRDefault="00B90A1F" w:rsidP="00B90A1F">
      <w:pPr>
        <w:rPr>
          <w:rFonts w:ascii="Arial" w:hAnsi="Arial" w:cs="Arial"/>
        </w:rPr>
      </w:pPr>
      <w:r w:rsidRPr="00157FEE">
        <w:rPr>
          <w:rFonts w:ascii="Arial" w:hAnsi="Arial" w:cs="Arial"/>
        </w:rPr>
        <w:t>Among the most active members, 4 members have contributed to SLoCaT Partnership in all six categories.  These members are GIZ, EMBARQ, ITDP and UITP.</w:t>
      </w:r>
    </w:p>
    <w:p w:rsidR="00B90A1F" w:rsidRPr="00157FEE" w:rsidRDefault="00B90A1F" w:rsidP="00B90A1F">
      <w:pPr>
        <w:rPr>
          <w:rFonts w:ascii="Arial" w:hAnsi="Arial" w:cs="Arial"/>
        </w:rPr>
      </w:pPr>
    </w:p>
    <w:p w:rsidR="00B90A1F" w:rsidRPr="00157FEE" w:rsidRDefault="00157FEE" w:rsidP="00B90A1F">
      <w:pPr>
        <w:rPr>
          <w:rFonts w:ascii="Arial" w:hAnsi="Arial" w:cs="Arial"/>
        </w:rPr>
      </w:pPr>
      <w:r>
        <w:rPr>
          <w:rFonts w:ascii="Arial" w:hAnsi="Arial" w:cs="Arial"/>
        </w:rPr>
        <w:t>There</w:t>
      </w:r>
      <w:r w:rsidR="00B90A1F" w:rsidRPr="00157FEE">
        <w:rPr>
          <w:rFonts w:ascii="Arial" w:hAnsi="Arial" w:cs="Arial"/>
        </w:rPr>
        <w:t xml:space="preserve"> were 20 members who have not participated in any of the SLoCaT activities in 2016.  </w:t>
      </w:r>
    </w:p>
    <w:p w:rsidR="00B90A1F" w:rsidRPr="00157FEE" w:rsidRDefault="00B90A1F" w:rsidP="00B90A1F">
      <w:pPr>
        <w:rPr>
          <w:rFonts w:ascii="Arial" w:hAnsi="Arial" w:cs="Arial"/>
        </w:rPr>
      </w:pPr>
    </w:p>
    <w:p w:rsidR="00B90A1F" w:rsidRPr="00157FEE" w:rsidRDefault="00B90A1F" w:rsidP="00B90A1F">
      <w:pPr>
        <w:rPr>
          <w:rFonts w:ascii="Arial" w:hAnsi="Arial" w:cs="Arial"/>
          <w:b/>
          <w:bCs/>
        </w:rPr>
      </w:pPr>
      <w:r w:rsidRPr="00157FEE">
        <w:rPr>
          <w:rFonts w:ascii="Arial" w:hAnsi="Arial" w:cs="Arial"/>
          <w:b/>
          <w:bCs/>
        </w:rPr>
        <w:t xml:space="preserve">The most inactive members of the SLoCaT Partnership in 2016 are; </w:t>
      </w:r>
    </w:p>
    <w:tbl>
      <w:tblPr>
        <w:tblStyle w:val="LightShading-Accent1"/>
        <w:tblW w:w="10046" w:type="dxa"/>
        <w:tblLook w:val="04A0"/>
      </w:tblPr>
      <w:tblGrid>
        <w:gridCol w:w="4788"/>
        <w:gridCol w:w="5258"/>
      </w:tblGrid>
      <w:tr w:rsidR="00B90A1F" w:rsidRPr="00157FEE" w:rsidTr="005B5DB9">
        <w:trPr>
          <w:cnfStyle w:val="100000000000"/>
          <w:trHeight w:val="20"/>
        </w:trPr>
        <w:tc>
          <w:tcPr>
            <w:cnfStyle w:val="001000000000"/>
            <w:tcW w:w="4788" w:type="dxa"/>
            <w:tcBorders>
              <w:top w:val="single" w:sz="4" w:space="0" w:color="5B9BD5" w:themeColor="accent1"/>
              <w:bottom w:val="nil"/>
            </w:tcBorders>
            <w:hideMark/>
          </w:tcPr>
          <w:p w:rsidR="00B90A1F" w:rsidRPr="00157FEE" w:rsidRDefault="00B90A1F" w:rsidP="005B5DB9">
            <w:pPr>
              <w:rPr>
                <w:rFonts w:ascii="Arial" w:hAnsi="Arial" w:cs="Arial"/>
                <w:b w:val="0"/>
                <w:bCs w:val="0"/>
              </w:rPr>
            </w:pPr>
            <w:r w:rsidRPr="00157FEE">
              <w:rPr>
                <w:rFonts w:ascii="Arial" w:hAnsi="Arial" w:cs="Arial"/>
                <w:b w:val="0"/>
                <w:bCs w:val="0"/>
              </w:rPr>
              <w:t>1.  Africa Transport Policy Program (SSATP)</w:t>
            </w:r>
          </w:p>
        </w:tc>
        <w:tc>
          <w:tcPr>
            <w:tcW w:w="5258" w:type="dxa"/>
            <w:tcBorders>
              <w:top w:val="single" w:sz="4" w:space="0" w:color="5B9BD5" w:themeColor="accent1"/>
              <w:bottom w:val="nil"/>
            </w:tcBorders>
            <w:hideMark/>
          </w:tcPr>
          <w:p w:rsidR="00B90A1F" w:rsidRPr="00157FEE" w:rsidRDefault="00B90A1F" w:rsidP="005B5DB9">
            <w:pPr>
              <w:cnfStyle w:val="100000000000"/>
              <w:rPr>
                <w:rFonts w:ascii="Arial" w:hAnsi="Arial" w:cs="Arial"/>
                <w:b w:val="0"/>
                <w:bCs w:val="0"/>
              </w:rPr>
            </w:pPr>
            <w:r w:rsidRPr="00157FEE">
              <w:rPr>
                <w:rFonts w:ascii="Arial" w:hAnsi="Arial" w:cs="Arial"/>
                <w:b w:val="0"/>
                <w:bCs w:val="0"/>
              </w:rPr>
              <w:t>11.  Institute of Urban Transport India (IUTI)</w:t>
            </w:r>
          </w:p>
        </w:tc>
      </w:tr>
      <w:tr w:rsidR="00B90A1F" w:rsidRPr="00157FEE" w:rsidTr="005B5DB9">
        <w:trPr>
          <w:cnfStyle w:val="000000100000"/>
          <w:trHeight w:val="20"/>
        </w:trPr>
        <w:tc>
          <w:tcPr>
            <w:cnfStyle w:val="001000000000"/>
            <w:tcW w:w="4788" w:type="dxa"/>
            <w:tcBorders>
              <w:top w:val="nil"/>
              <w:bottom w:val="nil"/>
            </w:tcBorders>
            <w:hideMark/>
          </w:tcPr>
          <w:p w:rsidR="00B90A1F" w:rsidRPr="00157FEE" w:rsidRDefault="00B90A1F" w:rsidP="005B5DB9">
            <w:pPr>
              <w:rPr>
                <w:rFonts w:ascii="Arial" w:hAnsi="Arial" w:cs="Arial"/>
                <w:b w:val="0"/>
                <w:bCs w:val="0"/>
              </w:rPr>
            </w:pPr>
            <w:r w:rsidRPr="00157FEE">
              <w:rPr>
                <w:rFonts w:ascii="Arial" w:hAnsi="Arial" w:cs="Arial"/>
                <w:b w:val="0"/>
                <w:bCs w:val="0"/>
              </w:rPr>
              <w:t>2.  Center for Science and Environment (CSE)</w:t>
            </w:r>
          </w:p>
        </w:tc>
        <w:tc>
          <w:tcPr>
            <w:tcW w:w="5258" w:type="dxa"/>
            <w:tcBorders>
              <w:top w:val="nil"/>
              <w:bottom w:val="nil"/>
            </w:tcBorders>
            <w:hideMark/>
          </w:tcPr>
          <w:p w:rsidR="00B90A1F" w:rsidRPr="00157FEE" w:rsidRDefault="00B90A1F" w:rsidP="005B5DB9">
            <w:pPr>
              <w:cnfStyle w:val="000000100000"/>
              <w:rPr>
                <w:rFonts w:ascii="Arial" w:hAnsi="Arial" w:cs="Arial"/>
              </w:rPr>
            </w:pPr>
            <w:r w:rsidRPr="00157FEE">
              <w:rPr>
                <w:rFonts w:ascii="Arial" w:hAnsi="Arial" w:cs="Arial"/>
              </w:rPr>
              <w:t>12.  Korean Transport Institute (KOTI)</w:t>
            </w:r>
          </w:p>
        </w:tc>
      </w:tr>
      <w:tr w:rsidR="00B90A1F" w:rsidRPr="00157FEE" w:rsidTr="005B5DB9">
        <w:trPr>
          <w:trHeight w:val="20"/>
        </w:trPr>
        <w:tc>
          <w:tcPr>
            <w:cnfStyle w:val="001000000000"/>
            <w:tcW w:w="4788" w:type="dxa"/>
            <w:tcBorders>
              <w:top w:val="nil"/>
            </w:tcBorders>
            <w:hideMark/>
          </w:tcPr>
          <w:p w:rsidR="00B90A1F" w:rsidRPr="00157FEE" w:rsidRDefault="00B90A1F" w:rsidP="005B5DB9">
            <w:pPr>
              <w:rPr>
                <w:rFonts w:ascii="Arial" w:hAnsi="Arial" w:cs="Arial"/>
                <w:b w:val="0"/>
                <w:bCs w:val="0"/>
              </w:rPr>
            </w:pPr>
            <w:r w:rsidRPr="00157FEE">
              <w:rPr>
                <w:rFonts w:ascii="Arial" w:hAnsi="Arial" w:cs="Arial"/>
                <w:b w:val="0"/>
                <w:bCs w:val="0"/>
              </w:rPr>
              <w:t>3.  Center for Transportation and Logistics Studies (PUSTRAL), Gadjah Mada University</w:t>
            </w:r>
          </w:p>
        </w:tc>
        <w:tc>
          <w:tcPr>
            <w:tcW w:w="5258" w:type="dxa"/>
            <w:tcBorders>
              <w:top w:val="nil"/>
            </w:tcBorders>
            <w:hideMark/>
          </w:tcPr>
          <w:p w:rsidR="00B90A1F" w:rsidRPr="00157FEE" w:rsidRDefault="00B90A1F" w:rsidP="005B5DB9">
            <w:pPr>
              <w:cnfStyle w:val="000000000000"/>
              <w:rPr>
                <w:rFonts w:ascii="Arial" w:hAnsi="Arial" w:cs="Arial"/>
              </w:rPr>
            </w:pPr>
            <w:r w:rsidRPr="00157FEE">
              <w:rPr>
                <w:rFonts w:ascii="Arial" w:hAnsi="Arial" w:cs="Arial"/>
              </w:rPr>
              <w:t>13.  National Center for Transportation Studies (NCTS), Philippines</w:t>
            </w:r>
          </w:p>
        </w:tc>
      </w:tr>
      <w:tr w:rsidR="00B90A1F" w:rsidRPr="00157FEE" w:rsidTr="005B5DB9">
        <w:trPr>
          <w:cnfStyle w:val="000000100000"/>
          <w:trHeight w:val="20"/>
        </w:trPr>
        <w:tc>
          <w:tcPr>
            <w:cnfStyle w:val="001000000000"/>
            <w:tcW w:w="4788" w:type="dxa"/>
            <w:hideMark/>
          </w:tcPr>
          <w:p w:rsidR="00B90A1F" w:rsidRPr="00157FEE" w:rsidRDefault="00B90A1F" w:rsidP="005B5DB9">
            <w:pPr>
              <w:rPr>
                <w:rFonts w:ascii="Arial" w:hAnsi="Arial" w:cs="Arial"/>
                <w:b w:val="0"/>
                <w:bCs w:val="0"/>
              </w:rPr>
            </w:pPr>
            <w:r w:rsidRPr="00157FEE">
              <w:rPr>
                <w:rFonts w:ascii="Arial" w:hAnsi="Arial" w:cs="Arial"/>
                <w:b w:val="0"/>
                <w:bCs w:val="0"/>
              </w:rPr>
              <w:t>4.  Clean Air Institute (CAI)</w:t>
            </w:r>
          </w:p>
        </w:tc>
        <w:tc>
          <w:tcPr>
            <w:tcW w:w="5258" w:type="dxa"/>
            <w:hideMark/>
          </w:tcPr>
          <w:p w:rsidR="00B90A1F" w:rsidRPr="00157FEE" w:rsidRDefault="00B90A1F" w:rsidP="005B5DB9">
            <w:pPr>
              <w:cnfStyle w:val="000000100000"/>
              <w:rPr>
                <w:rFonts w:ascii="Arial" w:hAnsi="Arial" w:cs="Arial"/>
              </w:rPr>
            </w:pPr>
            <w:r w:rsidRPr="00157FEE">
              <w:rPr>
                <w:rFonts w:ascii="Arial" w:hAnsi="Arial" w:cs="Arial"/>
              </w:rPr>
              <w:t>14.  Renewable Energy and Energy Efficiency Partnership (REEEP)</w:t>
            </w:r>
          </w:p>
        </w:tc>
      </w:tr>
      <w:tr w:rsidR="00B90A1F" w:rsidRPr="00157FEE" w:rsidTr="005B5DB9">
        <w:trPr>
          <w:trHeight w:val="20"/>
        </w:trPr>
        <w:tc>
          <w:tcPr>
            <w:cnfStyle w:val="001000000000"/>
            <w:tcW w:w="4788" w:type="dxa"/>
            <w:hideMark/>
          </w:tcPr>
          <w:p w:rsidR="00B90A1F" w:rsidRPr="00157FEE" w:rsidRDefault="00B90A1F" w:rsidP="005B5DB9">
            <w:pPr>
              <w:rPr>
                <w:rFonts w:ascii="Arial" w:hAnsi="Arial" w:cs="Arial"/>
                <w:b w:val="0"/>
                <w:bCs w:val="0"/>
              </w:rPr>
            </w:pPr>
            <w:r w:rsidRPr="00157FEE">
              <w:rPr>
                <w:rFonts w:ascii="Arial" w:hAnsi="Arial" w:cs="Arial"/>
                <w:b w:val="0"/>
                <w:bCs w:val="0"/>
              </w:rPr>
              <w:t>5.  European Bank for Reconstruction and    Development (EBRD)</w:t>
            </w:r>
          </w:p>
        </w:tc>
        <w:tc>
          <w:tcPr>
            <w:tcW w:w="5258" w:type="dxa"/>
            <w:hideMark/>
          </w:tcPr>
          <w:p w:rsidR="00B90A1F" w:rsidRPr="00157FEE" w:rsidRDefault="00B90A1F" w:rsidP="005B5DB9">
            <w:pPr>
              <w:cnfStyle w:val="000000000000"/>
              <w:rPr>
                <w:rFonts w:ascii="Arial" w:hAnsi="Arial" w:cs="Arial"/>
              </w:rPr>
            </w:pPr>
            <w:r w:rsidRPr="00157FEE">
              <w:rPr>
                <w:rFonts w:ascii="Arial" w:hAnsi="Arial" w:cs="Arial"/>
              </w:rPr>
              <w:t xml:space="preserve">15.  Stockholm Environment </w:t>
            </w:r>
            <w:r w:rsidR="00157FEE" w:rsidRPr="00157FEE">
              <w:rPr>
                <w:rFonts w:ascii="Arial" w:hAnsi="Arial" w:cs="Arial"/>
              </w:rPr>
              <w:t>Institute</w:t>
            </w:r>
            <w:r w:rsidRPr="00157FEE">
              <w:rPr>
                <w:rFonts w:ascii="Arial" w:hAnsi="Arial" w:cs="Arial"/>
              </w:rPr>
              <w:t xml:space="preserve"> (SEI)</w:t>
            </w:r>
          </w:p>
        </w:tc>
      </w:tr>
      <w:tr w:rsidR="00B90A1F" w:rsidRPr="00157FEE" w:rsidTr="005B5DB9">
        <w:trPr>
          <w:cnfStyle w:val="000000100000"/>
          <w:trHeight w:val="20"/>
        </w:trPr>
        <w:tc>
          <w:tcPr>
            <w:cnfStyle w:val="001000000000"/>
            <w:tcW w:w="4788" w:type="dxa"/>
            <w:hideMark/>
          </w:tcPr>
          <w:p w:rsidR="00B90A1F" w:rsidRPr="00157FEE" w:rsidRDefault="00B90A1F" w:rsidP="005B5DB9">
            <w:pPr>
              <w:rPr>
                <w:rFonts w:ascii="Arial" w:hAnsi="Arial" w:cs="Arial"/>
                <w:b w:val="0"/>
                <w:bCs w:val="0"/>
              </w:rPr>
            </w:pPr>
            <w:r w:rsidRPr="00157FEE">
              <w:rPr>
                <w:rFonts w:ascii="Arial" w:hAnsi="Arial" w:cs="Arial"/>
                <w:b w:val="0"/>
                <w:bCs w:val="0"/>
              </w:rPr>
              <w:t>6.  First African Bicycle Information Organization (FABIO)</w:t>
            </w:r>
          </w:p>
        </w:tc>
        <w:tc>
          <w:tcPr>
            <w:tcW w:w="5258" w:type="dxa"/>
            <w:hideMark/>
          </w:tcPr>
          <w:p w:rsidR="00B90A1F" w:rsidRPr="00157FEE" w:rsidRDefault="00B90A1F" w:rsidP="005B5DB9">
            <w:pPr>
              <w:cnfStyle w:val="000000100000"/>
              <w:rPr>
                <w:rFonts w:ascii="Arial" w:hAnsi="Arial" w:cs="Arial"/>
              </w:rPr>
            </w:pPr>
            <w:r w:rsidRPr="00157FEE">
              <w:rPr>
                <w:rFonts w:ascii="Arial" w:hAnsi="Arial" w:cs="Arial"/>
              </w:rPr>
              <w:t>16.  United Nations Office for Project Services (UNOPS)</w:t>
            </w:r>
          </w:p>
        </w:tc>
      </w:tr>
      <w:tr w:rsidR="00B90A1F" w:rsidRPr="00157FEE" w:rsidTr="005B5DB9">
        <w:trPr>
          <w:trHeight w:val="20"/>
        </w:trPr>
        <w:tc>
          <w:tcPr>
            <w:cnfStyle w:val="001000000000"/>
            <w:tcW w:w="4788" w:type="dxa"/>
            <w:hideMark/>
          </w:tcPr>
          <w:p w:rsidR="00B90A1F" w:rsidRPr="00157FEE" w:rsidRDefault="00B90A1F" w:rsidP="005B5DB9">
            <w:pPr>
              <w:rPr>
                <w:rFonts w:ascii="Arial" w:hAnsi="Arial" w:cs="Arial"/>
                <w:b w:val="0"/>
                <w:bCs w:val="0"/>
              </w:rPr>
            </w:pPr>
            <w:r w:rsidRPr="00157FEE">
              <w:rPr>
                <w:rFonts w:ascii="Arial" w:hAnsi="Arial" w:cs="Arial"/>
                <w:b w:val="0"/>
                <w:bCs w:val="0"/>
              </w:rPr>
              <w:t>7.  Global Urban Development (GUD)</w:t>
            </w:r>
          </w:p>
        </w:tc>
        <w:tc>
          <w:tcPr>
            <w:tcW w:w="5258" w:type="dxa"/>
            <w:hideMark/>
          </w:tcPr>
          <w:p w:rsidR="00B90A1F" w:rsidRPr="00157FEE" w:rsidRDefault="00B90A1F" w:rsidP="005B5DB9">
            <w:pPr>
              <w:cnfStyle w:val="000000000000"/>
              <w:rPr>
                <w:rFonts w:ascii="Arial" w:hAnsi="Arial" w:cs="Arial"/>
              </w:rPr>
            </w:pPr>
            <w:r w:rsidRPr="00157FEE">
              <w:rPr>
                <w:rFonts w:ascii="Arial" w:hAnsi="Arial" w:cs="Arial"/>
              </w:rPr>
              <w:t>17.  University of Capetown</w:t>
            </w:r>
          </w:p>
        </w:tc>
      </w:tr>
      <w:tr w:rsidR="00B90A1F" w:rsidRPr="00157FEE" w:rsidTr="005B5DB9">
        <w:trPr>
          <w:cnfStyle w:val="000000100000"/>
          <w:trHeight w:val="20"/>
        </w:trPr>
        <w:tc>
          <w:tcPr>
            <w:cnfStyle w:val="001000000000"/>
            <w:tcW w:w="4788" w:type="dxa"/>
            <w:hideMark/>
          </w:tcPr>
          <w:p w:rsidR="00B90A1F" w:rsidRPr="00157FEE" w:rsidRDefault="00B90A1F" w:rsidP="005B5DB9">
            <w:pPr>
              <w:rPr>
                <w:rFonts w:ascii="Arial" w:hAnsi="Arial" w:cs="Arial"/>
                <w:b w:val="0"/>
                <w:bCs w:val="0"/>
              </w:rPr>
            </w:pPr>
            <w:r w:rsidRPr="00157FEE">
              <w:rPr>
                <w:rFonts w:ascii="Arial" w:hAnsi="Arial" w:cs="Arial"/>
                <w:b w:val="0"/>
                <w:bCs w:val="0"/>
              </w:rPr>
              <w:t>8.  Green Mobility Institute</w:t>
            </w:r>
          </w:p>
        </w:tc>
        <w:tc>
          <w:tcPr>
            <w:tcW w:w="5258" w:type="dxa"/>
            <w:hideMark/>
          </w:tcPr>
          <w:p w:rsidR="00B90A1F" w:rsidRPr="00157FEE" w:rsidRDefault="00B90A1F" w:rsidP="005B5DB9">
            <w:pPr>
              <w:cnfStyle w:val="000000100000"/>
              <w:rPr>
                <w:rFonts w:ascii="Arial" w:hAnsi="Arial" w:cs="Arial"/>
              </w:rPr>
            </w:pPr>
            <w:r w:rsidRPr="00157FEE">
              <w:rPr>
                <w:rFonts w:ascii="Arial" w:hAnsi="Arial" w:cs="Arial"/>
              </w:rPr>
              <w:t>18.  University of Transport and Communication (UTCC) Hanoi</w:t>
            </w:r>
          </w:p>
        </w:tc>
      </w:tr>
      <w:tr w:rsidR="00B90A1F" w:rsidRPr="00157FEE" w:rsidTr="005B5DB9">
        <w:trPr>
          <w:trHeight w:val="20"/>
        </w:trPr>
        <w:tc>
          <w:tcPr>
            <w:cnfStyle w:val="001000000000"/>
            <w:tcW w:w="4788" w:type="dxa"/>
            <w:hideMark/>
          </w:tcPr>
          <w:p w:rsidR="00B90A1F" w:rsidRPr="00157FEE" w:rsidRDefault="00B90A1F" w:rsidP="005B5DB9">
            <w:pPr>
              <w:rPr>
                <w:rFonts w:ascii="Arial" w:hAnsi="Arial" w:cs="Arial"/>
                <w:b w:val="0"/>
                <w:bCs w:val="0"/>
              </w:rPr>
            </w:pPr>
            <w:r w:rsidRPr="00157FEE">
              <w:rPr>
                <w:rFonts w:ascii="Arial" w:hAnsi="Arial" w:cs="Arial"/>
                <w:b w:val="0"/>
                <w:bCs w:val="0"/>
              </w:rPr>
              <w:t>9.  Institute for Transport Policy Studies (ITPS)</w:t>
            </w:r>
          </w:p>
        </w:tc>
        <w:tc>
          <w:tcPr>
            <w:tcW w:w="5258" w:type="dxa"/>
            <w:hideMark/>
          </w:tcPr>
          <w:p w:rsidR="00B90A1F" w:rsidRPr="00157FEE" w:rsidRDefault="00B90A1F" w:rsidP="005B5DB9">
            <w:pPr>
              <w:cnfStyle w:val="000000000000"/>
              <w:rPr>
                <w:rFonts w:ascii="Arial" w:hAnsi="Arial" w:cs="Arial"/>
              </w:rPr>
            </w:pPr>
            <w:r w:rsidRPr="00157FEE">
              <w:rPr>
                <w:rFonts w:ascii="Arial" w:hAnsi="Arial" w:cs="Arial"/>
              </w:rPr>
              <w:t>19.  University of Twente/ITC-Department of Urban and Regional Planning (ITC)</w:t>
            </w:r>
          </w:p>
        </w:tc>
      </w:tr>
      <w:tr w:rsidR="00B90A1F" w:rsidRPr="00157FEE" w:rsidTr="005B5DB9">
        <w:trPr>
          <w:cnfStyle w:val="000000100000"/>
          <w:trHeight w:val="20"/>
        </w:trPr>
        <w:tc>
          <w:tcPr>
            <w:cnfStyle w:val="001000000000"/>
            <w:tcW w:w="4788" w:type="dxa"/>
            <w:hideMark/>
          </w:tcPr>
          <w:p w:rsidR="00B90A1F" w:rsidRPr="00157FEE" w:rsidRDefault="00B90A1F" w:rsidP="005B5DB9">
            <w:pPr>
              <w:rPr>
                <w:rFonts w:ascii="Arial" w:hAnsi="Arial" w:cs="Arial"/>
                <w:b w:val="0"/>
                <w:bCs w:val="0"/>
              </w:rPr>
            </w:pPr>
            <w:r w:rsidRPr="00157FEE">
              <w:rPr>
                <w:rFonts w:ascii="Arial" w:hAnsi="Arial" w:cs="Arial"/>
                <w:b w:val="0"/>
                <w:bCs w:val="0"/>
              </w:rPr>
              <w:t>10. Institute for Transport Studies, University of Leeds, UK, (ITS)</w:t>
            </w:r>
          </w:p>
        </w:tc>
        <w:tc>
          <w:tcPr>
            <w:tcW w:w="5258" w:type="dxa"/>
            <w:hideMark/>
          </w:tcPr>
          <w:p w:rsidR="00B90A1F" w:rsidRPr="00157FEE" w:rsidRDefault="00B90A1F" w:rsidP="005B5DB9">
            <w:pPr>
              <w:cnfStyle w:val="000000100000"/>
              <w:rPr>
                <w:rFonts w:ascii="Arial" w:hAnsi="Arial" w:cs="Arial"/>
              </w:rPr>
            </w:pPr>
            <w:r w:rsidRPr="00157FEE">
              <w:rPr>
                <w:rFonts w:ascii="Arial" w:hAnsi="Arial" w:cs="Arial"/>
              </w:rPr>
              <w:t>20.  YOURS</w:t>
            </w:r>
          </w:p>
        </w:tc>
      </w:tr>
    </w:tbl>
    <w:p w:rsidR="00B90A1F" w:rsidRPr="00157FEE" w:rsidRDefault="00B90A1F" w:rsidP="00B90A1F">
      <w:pPr>
        <w:rPr>
          <w:rFonts w:ascii="Arial" w:hAnsi="Arial" w:cs="Arial"/>
        </w:rPr>
      </w:pPr>
    </w:p>
    <w:p w:rsidR="00B90A1F" w:rsidRPr="00157FEE" w:rsidRDefault="00B90A1F" w:rsidP="005654FE">
      <w:pPr>
        <w:rPr>
          <w:rFonts w:ascii="Arial" w:hAnsi="Arial" w:cs="Arial"/>
        </w:rPr>
      </w:pPr>
      <w:r w:rsidRPr="00157FEE">
        <w:rPr>
          <w:rFonts w:ascii="Arial" w:hAnsi="Arial" w:cs="Arial"/>
        </w:rPr>
        <w:t>It is worth to note that among the most inactive members of the Partnership, one common thr</w:t>
      </w:r>
      <w:r w:rsidR="005654FE">
        <w:rPr>
          <w:rFonts w:ascii="Arial" w:hAnsi="Arial" w:cs="Arial"/>
        </w:rPr>
        <w:t>ead uniting most of them is</w:t>
      </w:r>
      <w:r w:rsidRPr="00157FEE">
        <w:rPr>
          <w:rFonts w:ascii="Arial" w:hAnsi="Arial" w:cs="Arial"/>
        </w:rPr>
        <w:t xml:space="preserve"> these are organizations based in the developing world.  This </w:t>
      </w:r>
      <w:r w:rsidR="00157FEE">
        <w:rPr>
          <w:rFonts w:ascii="Arial" w:hAnsi="Arial" w:cs="Arial"/>
        </w:rPr>
        <w:t xml:space="preserve">appears to contradict the </w:t>
      </w:r>
      <w:r w:rsidRPr="00157FEE">
        <w:rPr>
          <w:rFonts w:ascii="Arial" w:hAnsi="Arial" w:cs="Arial"/>
        </w:rPr>
        <w:t xml:space="preserve">SLoCaT Partnership </w:t>
      </w:r>
      <w:r w:rsidR="00157FEE" w:rsidRPr="00157FEE">
        <w:rPr>
          <w:rFonts w:ascii="Arial" w:hAnsi="Arial" w:cs="Arial"/>
        </w:rPr>
        <w:t>emphasis</w:t>
      </w:r>
      <w:r w:rsidRPr="00157FEE">
        <w:rPr>
          <w:rFonts w:ascii="Arial" w:hAnsi="Arial" w:cs="Arial"/>
        </w:rPr>
        <w:t xml:space="preserve"> on the developing world, however in its engagements with its members this does not reflect in the same manner.  The SLoCaT </w:t>
      </w:r>
      <w:r w:rsidRPr="00157FEE">
        <w:rPr>
          <w:rFonts w:ascii="Arial" w:hAnsi="Arial" w:cs="Arial"/>
        </w:rPr>
        <w:lastRenderedPageBreak/>
        <w:t>Secretariat, together with the SLoCaT Members and the SLoCaT Board will dwell into how to resolve this issue in 2017.</w:t>
      </w:r>
    </w:p>
    <w:p w:rsidR="00B90A1F" w:rsidRPr="00157FEE" w:rsidRDefault="00B90A1F" w:rsidP="00510C06">
      <w:pPr>
        <w:pStyle w:val="Heading1"/>
        <w:rPr>
          <w:rFonts w:ascii="Arial" w:hAnsi="Arial" w:cs="Arial"/>
        </w:rPr>
      </w:pPr>
      <w:r w:rsidRPr="00157FEE">
        <w:rPr>
          <w:rFonts w:ascii="Arial" w:hAnsi="Arial" w:cs="Arial"/>
        </w:rPr>
        <w:t>Overview of interactions between SLoCaT Members and SLoCaT Secretariat</w:t>
      </w:r>
    </w:p>
    <w:p w:rsidR="00510C06" w:rsidRPr="00157FEE" w:rsidRDefault="00510C06" w:rsidP="00510C06">
      <w:pPr>
        <w:rPr>
          <w:rFonts w:ascii="Arial" w:hAnsi="Arial" w:cs="Arial"/>
        </w:rPr>
      </w:pPr>
    </w:p>
    <w:p w:rsidR="00B90A1F" w:rsidRPr="00157FEE" w:rsidRDefault="00B90A1F" w:rsidP="00B90A1F">
      <w:pPr>
        <w:rPr>
          <w:rFonts w:ascii="Arial" w:hAnsi="Arial" w:cs="Arial"/>
          <w:lang w:val="en-GB"/>
        </w:rPr>
      </w:pPr>
      <w:r w:rsidRPr="00157FEE">
        <w:rPr>
          <w:rFonts w:ascii="Arial" w:hAnsi="Arial" w:cs="Arial"/>
          <w:lang w:val="en-GB"/>
        </w:rPr>
        <w:t>In total there were 465 interactions between SLoCaT Members and the SLoCaT Secretariat.  The distribution of the interactions in each category of SLoCaT activity is presented below:</w:t>
      </w: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rPr>
      </w:pPr>
      <w:r w:rsidRPr="00157FEE">
        <w:rPr>
          <w:rFonts w:ascii="Arial" w:hAnsi="Arial" w:cs="Arial"/>
          <w:noProof/>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151765</wp:posOffset>
            </wp:positionV>
            <wp:extent cx="4991100" cy="2590800"/>
            <wp:effectExtent l="19050" t="0" r="0" b="0"/>
            <wp:wrapSquare wrapText="bothSides"/>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B90A1F" w:rsidRPr="00157FEE" w:rsidRDefault="005654FE" w:rsidP="00B90A1F">
      <w:pPr>
        <w:rPr>
          <w:rFonts w:ascii="Arial" w:hAnsi="Arial" w:cs="Arial"/>
          <w:lang w:val="en-GB"/>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376.5pt;margin-top:23.05pt;width:373.5pt;height:11.2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" stroked="f">
            <v:textbox style="mso-next-textbox:#Text Box 2" inset="0,0,0,0">
              <w:txbxContent>
                <w:p w:rsidR="00B90A1F" w:rsidRPr="00015AFB" w:rsidRDefault="00B90A1F" w:rsidP="005654FE">
                  <w:pPr>
                    <w:pStyle w:val="Caption"/>
                    <w:jc w:val="center"/>
                    <w:rPr>
                      <w:noProof/>
                      <w:sz w:val="24"/>
                      <w:szCs w:val="24"/>
                    </w:rPr>
                  </w:pPr>
                  <w:r>
                    <w:t xml:space="preserve">Figure </w:t>
                  </w:r>
                  <w:r w:rsidR="00113724">
                    <w:fldChar w:fldCharType="begin"/>
                  </w:r>
                  <w:r>
                    <w:instrText xml:space="preserve"> SEQ Figure \* ARABIC </w:instrText>
                  </w:r>
                  <w:r w:rsidR="00113724">
                    <w:fldChar w:fldCharType="separate"/>
                  </w:r>
                  <w:r>
                    <w:rPr>
                      <w:noProof/>
                    </w:rPr>
                    <w:t>1</w:t>
                  </w:r>
                  <w:r w:rsidR="00113724">
                    <w:rPr>
                      <w:noProof/>
                    </w:rPr>
                    <w:fldChar w:fldCharType="end"/>
                  </w:r>
                  <w:r>
                    <w:t>: Distribution of interactions with SLoCaT members in different categories of activities</w:t>
                  </w:r>
                </w:p>
              </w:txbxContent>
            </v:textbox>
            <w10:wrap type="square"/>
          </v:shape>
        </w:pict>
      </w:r>
    </w:p>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p>
    <w:p w:rsidR="005654FE" w:rsidRDefault="005654FE" w:rsidP="00B90A1F">
      <w:pPr>
        <w:rPr>
          <w:rFonts w:ascii="Arial" w:hAnsi="Arial" w:cs="Arial"/>
          <w:lang w:val="en-GB"/>
        </w:rPr>
      </w:pPr>
    </w:p>
    <w:p w:rsidR="00B90A1F" w:rsidRPr="00157FEE" w:rsidRDefault="00157FEE" w:rsidP="00B90A1F">
      <w:pPr>
        <w:rPr>
          <w:rFonts w:ascii="Arial" w:hAnsi="Arial" w:cs="Arial"/>
          <w:lang w:val="en-GB"/>
        </w:rPr>
      </w:pPr>
      <w:r>
        <w:rPr>
          <w:rFonts w:ascii="Arial" w:hAnsi="Arial" w:cs="Arial"/>
          <w:lang w:val="en-GB"/>
        </w:rPr>
        <w:t>At</w:t>
      </w:r>
      <w:r w:rsidR="00B90A1F" w:rsidRPr="00157FEE">
        <w:rPr>
          <w:rFonts w:ascii="Arial" w:hAnsi="Arial" w:cs="Arial"/>
          <w:lang w:val="en-GB"/>
        </w:rPr>
        <w:t xml:space="preserve"> least 40% of the interactions with members have been through commenting and providing inputs (24%), outreach support (13%) and in</w:t>
      </w:r>
      <w:r w:rsidR="005654FE">
        <w:rPr>
          <w:rFonts w:ascii="Arial" w:hAnsi="Arial" w:cs="Arial"/>
          <w:lang w:val="en-GB"/>
        </w:rPr>
        <w:t>-kind contributions (5%).  These</w:t>
      </w:r>
      <w:r w:rsidR="00B90A1F" w:rsidRPr="00157FEE">
        <w:rPr>
          <w:rFonts w:ascii="Arial" w:hAnsi="Arial" w:cs="Arial"/>
          <w:lang w:val="en-GB"/>
        </w:rPr>
        <w:t xml:space="preserve"> three types of activities can be done from members’ own headquarters and do not necessarily require travel or additional financial resources to contribute to SLoCaT Partnership. </w:t>
      </w:r>
      <w:r>
        <w:rPr>
          <w:rFonts w:ascii="Arial" w:hAnsi="Arial" w:cs="Arial"/>
          <w:lang w:val="en-GB"/>
        </w:rPr>
        <w:t>I</w:t>
      </w:r>
      <w:r w:rsidR="00B90A1F" w:rsidRPr="00157FEE">
        <w:rPr>
          <w:rFonts w:ascii="Arial" w:hAnsi="Arial" w:cs="Arial"/>
          <w:lang w:val="en-GB"/>
        </w:rPr>
        <w:t xml:space="preserve">t is clear that </w:t>
      </w:r>
      <w:r>
        <w:rPr>
          <w:rFonts w:ascii="Arial" w:hAnsi="Arial" w:cs="Arial"/>
          <w:lang w:val="en-GB"/>
        </w:rPr>
        <w:t>a large part</w:t>
      </w:r>
      <w:r w:rsidR="00B90A1F" w:rsidRPr="00157FEE">
        <w:rPr>
          <w:rFonts w:ascii="Arial" w:hAnsi="Arial" w:cs="Arial"/>
          <w:lang w:val="en-GB"/>
        </w:rPr>
        <w:t xml:space="preserve"> of all SLoCaT activities are open and accessible for all SLoCaT members regardless of size, regional location or financial resources.   </w:t>
      </w:r>
    </w:p>
    <w:p w:rsidR="00B90A1F" w:rsidRPr="00157FEE" w:rsidRDefault="00B90A1F" w:rsidP="00B90A1F">
      <w:pPr>
        <w:rPr>
          <w:rFonts w:ascii="Arial" w:hAnsi="Arial" w:cs="Arial"/>
          <w:lang w:val="en-GB"/>
        </w:rPr>
      </w:pPr>
    </w:p>
    <w:p w:rsidR="00B90A1F" w:rsidRPr="00157FEE" w:rsidRDefault="00157FEE" w:rsidP="00B90A1F">
      <w:pPr>
        <w:rPr>
          <w:rFonts w:ascii="Arial" w:hAnsi="Arial" w:cs="Arial"/>
          <w:b/>
          <w:bCs/>
          <w:lang w:val="en-GB"/>
        </w:rPr>
      </w:pPr>
      <w:r>
        <w:rPr>
          <w:rFonts w:ascii="Arial" w:hAnsi="Arial" w:cs="Arial"/>
          <w:b/>
          <w:bCs/>
          <w:lang w:val="en-GB"/>
        </w:rPr>
        <w:t>The</w:t>
      </w:r>
      <w:r w:rsidR="00B90A1F" w:rsidRPr="00157FEE">
        <w:rPr>
          <w:rFonts w:ascii="Arial" w:hAnsi="Arial" w:cs="Arial"/>
          <w:b/>
          <w:bCs/>
          <w:lang w:val="en-GB"/>
        </w:rPr>
        <w:t xml:space="preserve"> 10 most engaged SLoCaT members are listed below:</w:t>
      </w:r>
    </w:p>
    <w:tbl>
      <w:tblPr>
        <w:tblStyle w:val="LightShading-Accent11"/>
        <w:tblW w:w="9604" w:type="dxa"/>
        <w:tblLook w:val="04A0"/>
      </w:tblPr>
      <w:tblGrid>
        <w:gridCol w:w="6893"/>
        <w:gridCol w:w="2711"/>
      </w:tblGrid>
      <w:tr w:rsidR="00B90A1F" w:rsidRPr="00157FEE" w:rsidTr="005B5DB9">
        <w:trPr>
          <w:cnfStyle w:val="100000000000"/>
          <w:trHeight w:val="558"/>
        </w:trPr>
        <w:tc>
          <w:tcPr>
            <w:cnfStyle w:val="001000000000"/>
            <w:tcW w:w="6893" w:type="dxa"/>
            <w:hideMark/>
          </w:tcPr>
          <w:p w:rsidR="00B90A1F" w:rsidRPr="00157FEE" w:rsidRDefault="00B90A1F" w:rsidP="005B5DB9">
            <w:pPr>
              <w:rPr>
                <w:rFonts w:ascii="Arial" w:hAnsi="Arial" w:cs="Arial"/>
              </w:rPr>
            </w:pPr>
            <w:r w:rsidRPr="00157FEE">
              <w:rPr>
                <w:rFonts w:ascii="Arial" w:hAnsi="Arial" w:cs="Arial"/>
              </w:rPr>
              <w:t>SLoCaT Member</w:t>
            </w:r>
          </w:p>
        </w:tc>
        <w:tc>
          <w:tcPr>
            <w:tcW w:w="2711" w:type="dxa"/>
          </w:tcPr>
          <w:p w:rsidR="00B90A1F" w:rsidRPr="00157FEE" w:rsidRDefault="00B90A1F" w:rsidP="005B5DB9">
            <w:pPr>
              <w:jc w:val="center"/>
              <w:cnfStyle w:val="100000000000"/>
              <w:rPr>
                <w:rFonts w:ascii="Arial" w:hAnsi="Arial" w:cs="Arial"/>
              </w:rPr>
            </w:pPr>
            <w:r w:rsidRPr="00157FEE">
              <w:rPr>
                <w:rFonts w:ascii="Arial" w:hAnsi="Arial" w:cs="Arial"/>
              </w:rPr>
              <w:t>Number of Total interactions  in 2016</w:t>
            </w:r>
          </w:p>
        </w:tc>
      </w:tr>
      <w:tr w:rsidR="00B90A1F" w:rsidRPr="00157FEE" w:rsidTr="005B5DB9">
        <w:trPr>
          <w:cnfStyle w:val="000000100000"/>
          <w:trHeight w:val="20"/>
        </w:trPr>
        <w:tc>
          <w:tcPr>
            <w:cnfStyle w:val="001000000000"/>
            <w:tcW w:w="6893" w:type="dxa"/>
            <w:hideMark/>
          </w:tcPr>
          <w:p w:rsidR="00B90A1F" w:rsidRPr="00157FEE" w:rsidRDefault="00B90A1F" w:rsidP="005B5DB9">
            <w:pPr>
              <w:pStyle w:val="ListParagraph"/>
              <w:numPr>
                <w:ilvl w:val="0"/>
                <w:numId w:val="11"/>
              </w:numPr>
              <w:rPr>
                <w:rFonts w:ascii="Arial" w:hAnsi="Arial" w:cs="Arial"/>
                <w:b w:val="0"/>
                <w:bCs w:val="0"/>
              </w:rPr>
            </w:pPr>
            <w:r w:rsidRPr="00157FEE">
              <w:rPr>
                <w:rFonts w:ascii="Arial" w:hAnsi="Arial" w:cs="Arial"/>
                <w:b w:val="0"/>
                <w:bCs w:val="0"/>
              </w:rPr>
              <w:t>Institute for Transportation and Development Policy (ITDP)</w:t>
            </w:r>
          </w:p>
        </w:tc>
        <w:tc>
          <w:tcPr>
            <w:tcW w:w="2711" w:type="dxa"/>
          </w:tcPr>
          <w:p w:rsidR="00B90A1F" w:rsidRPr="00157FEE" w:rsidRDefault="00B90A1F" w:rsidP="005B5DB9">
            <w:pPr>
              <w:jc w:val="center"/>
              <w:cnfStyle w:val="000000100000"/>
              <w:rPr>
                <w:rFonts w:ascii="Arial" w:hAnsi="Arial" w:cs="Arial"/>
              </w:rPr>
            </w:pPr>
            <w:r w:rsidRPr="00157FEE">
              <w:rPr>
                <w:rFonts w:ascii="Arial" w:hAnsi="Arial" w:cs="Arial"/>
              </w:rPr>
              <w:t>42</w:t>
            </w:r>
          </w:p>
        </w:tc>
      </w:tr>
      <w:tr w:rsidR="00B90A1F" w:rsidRPr="00157FEE" w:rsidTr="005B5DB9">
        <w:trPr>
          <w:trHeight w:val="20"/>
        </w:trPr>
        <w:tc>
          <w:tcPr>
            <w:cnfStyle w:val="001000000000"/>
            <w:tcW w:w="6893" w:type="dxa"/>
            <w:hideMark/>
          </w:tcPr>
          <w:p w:rsidR="00B90A1F" w:rsidRPr="00157FEE" w:rsidRDefault="00B90A1F" w:rsidP="005B5DB9">
            <w:pPr>
              <w:pStyle w:val="ListParagraph"/>
              <w:numPr>
                <w:ilvl w:val="0"/>
                <w:numId w:val="11"/>
              </w:numPr>
              <w:rPr>
                <w:rFonts w:ascii="Arial" w:hAnsi="Arial" w:cs="Arial"/>
                <w:b w:val="0"/>
                <w:bCs w:val="0"/>
              </w:rPr>
            </w:pPr>
            <w:r w:rsidRPr="00157FEE">
              <w:rPr>
                <w:rFonts w:ascii="Arial" w:hAnsi="Arial" w:cs="Arial"/>
                <w:b w:val="0"/>
                <w:bCs w:val="0"/>
              </w:rPr>
              <w:t>EMBARQ, The World Resources institute Ross Center for Sustainable Cities</w:t>
            </w:r>
          </w:p>
        </w:tc>
        <w:tc>
          <w:tcPr>
            <w:tcW w:w="2711" w:type="dxa"/>
          </w:tcPr>
          <w:p w:rsidR="00B90A1F" w:rsidRPr="00157FEE" w:rsidRDefault="00B90A1F" w:rsidP="005B5DB9">
            <w:pPr>
              <w:jc w:val="center"/>
              <w:cnfStyle w:val="000000000000"/>
              <w:rPr>
                <w:rFonts w:ascii="Arial" w:hAnsi="Arial" w:cs="Arial"/>
              </w:rPr>
            </w:pPr>
            <w:r w:rsidRPr="00157FEE">
              <w:rPr>
                <w:rFonts w:ascii="Arial" w:hAnsi="Arial" w:cs="Arial"/>
              </w:rPr>
              <w:t>35</w:t>
            </w:r>
          </w:p>
        </w:tc>
      </w:tr>
      <w:tr w:rsidR="00B90A1F" w:rsidRPr="00157FEE" w:rsidTr="005B5DB9">
        <w:trPr>
          <w:cnfStyle w:val="000000100000"/>
          <w:trHeight w:val="20"/>
        </w:trPr>
        <w:tc>
          <w:tcPr>
            <w:cnfStyle w:val="001000000000"/>
            <w:tcW w:w="6893" w:type="dxa"/>
            <w:hideMark/>
          </w:tcPr>
          <w:p w:rsidR="00B90A1F" w:rsidRPr="00157FEE" w:rsidRDefault="00B90A1F" w:rsidP="005B5DB9">
            <w:pPr>
              <w:pStyle w:val="ListParagraph"/>
              <w:numPr>
                <w:ilvl w:val="0"/>
                <w:numId w:val="11"/>
              </w:numPr>
              <w:rPr>
                <w:rFonts w:ascii="Arial" w:hAnsi="Arial" w:cs="Arial"/>
                <w:b w:val="0"/>
                <w:bCs w:val="0"/>
              </w:rPr>
            </w:pPr>
            <w:r w:rsidRPr="00157FEE">
              <w:rPr>
                <w:rFonts w:ascii="Arial" w:hAnsi="Arial" w:cs="Arial"/>
                <w:b w:val="0"/>
                <w:bCs w:val="0"/>
              </w:rPr>
              <w:t>Deutsche Gesellschaft für Internationale Zusammenarbeit (GIZ)</w:t>
            </w:r>
          </w:p>
        </w:tc>
        <w:tc>
          <w:tcPr>
            <w:tcW w:w="2711" w:type="dxa"/>
          </w:tcPr>
          <w:p w:rsidR="00B90A1F" w:rsidRPr="00157FEE" w:rsidRDefault="00B90A1F" w:rsidP="005B5DB9">
            <w:pPr>
              <w:jc w:val="center"/>
              <w:cnfStyle w:val="000000100000"/>
              <w:rPr>
                <w:rFonts w:ascii="Arial" w:hAnsi="Arial" w:cs="Arial"/>
              </w:rPr>
            </w:pPr>
            <w:r w:rsidRPr="00157FEE">
              <w:rPr>
                <w:rFonts w:ascii="Arial" w:hAnsi="Arial" w:cs="Arial"/>
              </w:rPr>
              <w:t>32</w:t>
            </w:r>
          </w:p>
        </w:tc>
      </w:tr>
      <w:tr w:rsidR="00B90A1F" w:rsidRPr="00157FEE" w:rsidTr="005B5DB9">
        <w:trPr>
          <w:trHeight w:val="20"/>
        </w:trPr>
        <w:tc>
          <w:tcPr>
            <w:cnfStyle w:val="001000000000"/>
            <w:tcW w:w="6893" w:type="dxa"/>
            <w:hideMark/>
          </w:tcPr>
          <w:p w:rsidR="00B90A1F" w:rsidRPr="00157FEE" w:rsidRDefault="00B90A1F" w:rsidP="005B5DB9">
            <w:pPr>
              <w:pStyle w:val="ListParagraph"/>
              <w:numPr>
                <w:ilvl w:val="0"/>
                <w:numId w:val="11"/>
              </w:numPr>
              <w:rPr>
                <w:rFonts w:ascii="Arial" w:hAnsi="Arial" w:cs="Arial"/>
                <w:b w:val="0"/>
                <w:bCs w:val="0"/>
              </w:rPr>
            </w:pPr>
            <w:r w:rsidRPr="00157FEE">
              <w:rPr>
                <w:rFonts w:ascii="Arial" w:hAnsi="Arial" w:cs="Arial"/>
                <w:b w:val="0"/>
                <w:bCs w:val="0"/>
              </w:rPr>
              <w:t>European Cyclists' Federation (ECF)</w:t>
            </w:r>
          </w:p>
        </w:tc>
        <w:tc>
          <w:tcPr>
            <w:tcW w:w="2711" w:type="dxa"/>
          </w:tcPr>
          <w:p w:rsidR="00B90A1F" w:rsidRPr="00157FEE" w:rsidRDefault="00B90A1F" w:rsidP="005B5DB9">
            <w:pPr>
              <w:jc w:val="center"/>
              <w:cnfStyle w:val="000000000000"/>
              <w:rPr>
                <w:rFonts w:ascii="Arial" w:hAnsi="Arial" w:cs="Arial"/>
              </w:rPr>
            </w:pPr>
            <w:r w:rsidRPr="00157FEE">
              <w:rPr>
                <w:rFonts w:ascii="Arial" w:hAnsi="Arial" w:cs="Arial"/>
              </w:rPr>
              <w:t>30</w:t>
            </w:r>
          </w:p>
        </w:tc>
      </w:tr>
      <w:tr w:rsidR="00B90A1F" w:rsidRPr="00157FEE" w:rsidTr="005B5DB9">
        <w:trPr>
          <w:cnfStyle w:val="000000100000"/>
          <w:trHeight w:val="20"/>
        </w:trPr>
        <w:tc>
          <w:tcPr>
            <w:cnfStyle w:val="001000000000"/>
            <w:tcW w:w="6893" w:type="dxa"/>
            <w:hideMark/>
          </w:tcPr>
          <w:p w:rsidR="00B90A1F" w:rsidRPr="00157FEE" w:rsidRDefault="00B90A1F" w:rsidP="005B5DB9">
            <w:pPr>
              <w:pStyle w:val="ListParagraph"/>
              <w:numPr>
                <w:ilvl w:val="0"/>
                <w:numId w:val="11"/>
              </w:numPr>
              <w:rPr>
                <w:rFonts w:ascii="Arial" w:hAnsi="Arial" w:cs="Arial"/>
                <w:b w:val="0"/>
                <w:bCs w:val="0"/>
              </w:rPr>
            </w:pPr>
            <w:r w:rsidRPr="00157FEE">
              <w:rPr>
                <w:rFonts w:ascii="Arial" w:hAnsi="Arial" w:cs="Arial"/>
                <w:b w:val="0"/>
                <w:bCs w:val="0"/>
              </w:rPr>
              <w:t>International Association for Public Transport (UITP)</w:t>
            </w:r>
          </w:p>
        </w:tc>
        <w:tc>
          <w:tcPr>
            <w:tcW w:w="2711" w:type="dxa"/>
          </w:tcPr>
          <w:p w:rsidR="00B90A1F" w:rsidRPr="00157FEE" w:rsidRDefault="00B90A1F" w:rsidP="005B5DB9">
            <w:pPr>
              <w:jc w:val="center"/>
              <w:cnfStyle w:val="000000100000"/>
              <w:rPr>
                <w:rFonts w:ascii="Arial" w:hAnsi="Arial" w:cs="Arial"/>
              </w:rPr>
            </w:pPr>
            <w:r w:rsidRPr="00157FEE">
              <w:rPr>
                <w:rFonts w:ascii="Arial" w:hAnsi="Arial" w:cs="Arial"/>
              </w:rPr>
              <w:t>28</w:t>
            </w:r>
          </w:p>
        </w:tc>
      </w:tr>
      <w:tr w:rsidR="00B90A1F" w:rsidRPr="00157FEE" w:rsidTr="005B5DB9">
        <w:trPr>
          <w:trHeight w:val="20"/>
        </w:trPr>
        <w:tc>
          <w:tcPr>
            <w:cnfStyle w:val="001000000000"/>
            <w:tcW w:w="6893" w:type="dxa"/>
            <w:hideMark/>
          </w:tcPr>
          <w:p w:rsidR="00B90A1F" w:rsidRPr="00157FEE" w:rsidRDefault="00B90A1F" w:rsidP="005B5DB9">
            <w:pPr>
              <w:pStyle w:val="ListParagraph"/>
              <w:numPr>
                <w:ilvl w:val="0"/>
                <w:numId w:val="11"/>
              </w:numPr>
              <w:rPr>
                <w:rFonts w:ascii="Arial" w:hAnsi="Arial" w:cs="Arial"/>
                <w:b w:val="0"/>
                <w:bCs w:val="0"/>
              </w:rPr>
            </w:pPr>
            <w:r w:rsidRPr="00157FEE">
              <w:rPr>
                <w:rFonts w:ascii="Arial" w:hAnsi="Arial" w:cs="Arial"/>
                <w:b w:val="0"/>
                <w:bCs w:val="0"/>
              </w:rPr>
              <w:t>Fia Foundation</w:t>
            </w:r>
          </w:p>
        </w:tc>
        <w:tc>
          <w:tcPr>
            <w:tcW w:w="2711" w:type="dxa"/>
          </w:tcPr>
          <w:p w:rsidR="00B90A1F" w:rsidRPr="00157FEE" w:rsidRDefault="00B90A1F" w:rsidP="005B5DB9">
            <w:pPr>
              <w:jc w:val="center"/>
              <w:cnfStyle w:val="000000000000"/>
              <w:rPr>
                <w:rFonts w:ascii="Arial" w:hAnsi="Arial" w:cs="Arial"/>
              </w:rPr>
            </w:pPr>
            <w:r w:rsidRPr="00157FEE">
              <w:rPr>
                <w:rFonts w:ascii="Arial" w:hAnsi="Arial" w:cs="Arial"/>
              </w:rPr>
              <w:t>26</w:t>
            </w:r>
          </w:p>
        </w:tc>
      </w:tr>
      <w:tr w:rsidR="00B90A1F" w:rsidRPr="00157FEE" w:rsidTr="005B5DB9">
        <w:trPr>
          <w:cnfStyle w:val="000000100000"/>
          <w:trHeight w:val="20"/>
        </w:trPr>
        <w:tc>
          <w:tcPr>
            <w:cnfStyle w:val="001000000000"/>
            <w:tcW w:w="6893" w:type="dxa"/>
            <w:hideMark/>
          </w:tcPr>
          <w:p w:rsidR="00B90A1F" w:rsidRPr="00157FEE" w:rsidRDefault="00B90A1F" w:rsidP="005B5DB9">
            <w:pPr>
              <w:pStyle w:val="ListParagraph"/>
              <w:numPr>
                <w:ilvl w:val="0"/>
                <w:numId w:val="11"/>
              </w:numPr>
              <w:rPr>
                <w:rFonts w:ascii="Arial" w:hAnsi="Arial" w:cs="Arial"/>
                <w:b w:val="0"/>
                <w:bCs w:val="0"/>
              </w:rPr>
            </w:pPr>
            <w:r w:rsidRPr="00157FEE">
              <w:rPr>
                <w:rFonts w:ascii="Arial" w:hAnsi="Arial" w:cs="Arial"/>
                <w:b w:val="0"/>
                <w:bCs w:val="0"/>
              </w:rPr>
              <w:t>Michelin Challenge Bibendum</w:t>
            </w:r>
          </w:p>
        </w:tc>
        <w:tc>
          <w:tcPr>
            <w:tcW w:w="2711" w:type="dxa"/>
          </w:tcPr>
          <w:p w:rsidR="00B90A1F" w:rsidRPr="00157FEE" w:rsidRDefault="00B90A1F" w:rsidP="005B5DB9">
            <w:pPr>
              <w:jc w:val="center"/>
              <w:cnfStyle w:val="000000100000"/>
              <w:rPr>
                <w:rFonts w:ascii="Arial" w:hAnsi="Arial" w:cs="Arial"/>
              </w:rPr>
            </w:pPr>
            <w:r w:rsidRPr="00157FEE">
              <w:rPr>
                <w:rFonts w:ascii="Arial" w:hAnsi="Arial" w:cs="Arial"/>
              </w:rPr>
              <w:t>24</w:t>
            </w:r>
          </w:p>
        </w:tc>
      </w:tr>
      <w:tr w:rsidR="00B90A1F" w:rsidRPr="00157FEE" w:rsidTr="005B5DB9">
        <w:trPr>
          <w:trHeight w:val="20"/>
        </w:trPr>
        <w:tc>
          <w:tcPr>
            <w:cnfStyle w:val="001000000000"/>
            <w:tcW w:w="6893" w:type="dxa"/>
            <w:hideMark/>
          </w:tcPr>
          <w:p w:rsidR="00B90A1F" w:rsidRPr="00157FEE" w:rsidRDefault="00B90A1F" w:rsidP="005B5DB9">
            <w:pPr>
              <w:pStyle w:val="ListParagraph"/>
              <w:numPr>
                <w:ilvl w:val="0"/>
                <w:numId w:val="11"/>
              </w:numPr>
              <w:rPr>
                <w:rFonts w:ascii="Arial" w:hAnsi="Arial" w:cs="Arial"/>
                <w:b w:val="0"/>
                <w:bCs w:val="0"/>
              </w:rPr>
            </w:pPr>
            <w:r w:rsidRPr="00157FEE">
              <w:rPr>
                <w:rFonts w:ascii="Arial" w:hAnsi="Arial" w:cs="Arial"/>
                <w:b w:val="0"/>
                <w:bCs w:val="0"/>
              </w:rPr>
              <w:t>Despacio</w:t>
            </w:r>
          </w:p>
        </w:tc>
        <w:tc>
          <w:tcPr>
            <w:tcW w:w="2711" w:type="dxa"/>
          </w:tcPr>
          <w:p w:rsidR="00B90A1F" w:rsidRPr="00157FEE" w:rsidRDefault="00B90A1F" w:rsidP="005B5DB9">
            <w:pPr>
              <w:jc w:val="center"/>
              <w:cnfStyle w:val="000000000000"/>
              <w:rPr>
                <w:rFonts w:ascii="Arial" w:hAnsi="Arial" w:cs="Arial"/>
              </w:rPr>
            </w:pPr>
            <w:r w:rsidRPr="00157FEE">
              <w:rPr>
                <w:rFonts w:ascii="Arial" w:hAnsi="Arial" w:cs="Arial"/>
              </w:rPr>
              <w:t>23</w:t>
            </w:r>
          </w:p>
        </w:tc>
      </w:tr>
      <w:tr w:rsidR="00B90A1F" w:rsidRPr="00157FEE" w:rsidTr="005B5DB9">
        <w:trPr>
          <w:cnfStyle w:val="000000100000"/>
          <w:trHeight w:val="20"/>
        </w:trPr>
        <w:tc>
          <w:tcPr>
            <w:cnfStyle w:val="001000000000"/>
            <w:tcW w:w="6893" w:type="dxa"/>
            <w:hideMark/>
          </w:tcPr>
          <w:p w:rsidR="00B90A1F" w:rsidRPr="00157FEE" w:rsidRDefault="00B90A1F" w:rsidP="005B5DB9">
            <w:pPr>
              <w:pStyle w:val="ListParagraph"/>
              <w:numPr>
                <w:ilvl w:val="0"/>
                <w:numId w:val="11"/>
              </w:numPr>
              <w:rPr>
                <w:rFonts w:ascii="Arial" w:hAnsi="Arial" w:cs="Arial"/>
                <w:b w:val="0"/>
                <w:bCs w:val="0"/>
              </w:rPr>
            </w:pPr>
            <w:r w:rsidRPr="00157FEE">
              <w:rPr>
                <w:rFonts w:ascii="Arial" w:hAnsi="Arial" w:cs="Arial"/>
                <w:b w:val="0"/>
                <w:bCs w:val="0"/>
              </w:rPr>
              <w:t>CAF-Development Bank of Latin America</w:t>
            </w:r>
          </w:p>
        </w:tc>
        <w:tc>
          <w:tcPr>
            <w:tcW w:w="2711" w:type="dxa"/>
          </w:tcPr>
          <w:p w:rsidR="00B90A1F" w:rsidRPr="00157FEE" w:rsidRDefault="00B90A1F" w:rsidP="005B5DB9">
            <w:pPr>
              <w:jc w:val="center"/>
              <w:cnfStyle w:val="000000100000"/>
              <w:rPr>
                <w:rFonts w:ascii="Arial" w:hAnsi="Arial" w:cs="Arial"/>
              </w:rPr>
            </w:pPr>
            <w:r w:rsidRPr="00157FEE">
              <w:rPr>
                <w:rFonts w:ascii="Arial" w:hAnsi="Arial" w:cs="Arial"/>
              </w:rPr>
              <w:t>21</w:t>
            </w:r>
          </w:p>
        </w:tc>
      </w:tr>
      <w:tr w:rsidR="00B90A1F" w:rsidRPr="00157FEE" w:rsidTr="005B5DB9">
        <w:trPr>
          <w:trHeight w:val="20"/>
        </w:trPr>
        <w:tc>
          <w:tcPr>
            <w:cnfStyle w:val="001000000000"/>
            <w:tcW w:w="6893" w:type="dxa"/>
            <w:hideMark/>
          </w:tcPr>
          <w:p w:rsidR="00B90A1F" w:rsidRPr="00157FEE" w:rsidRDefault="00B90A1F" w:rsidP="005B5DB9">
            <w:pPr>
              <w:pStyle w:val="ListParagraph"/>
              <w:numPr>
                <w:ilvl w:val="0"/>
                <w:numId w:val="11"/>
              </w:numPr>
              <w:rPr>
                <w:rFonts w:ascii="Arial" w:hAnsi="Arial" w:cs="Arial"/>
                <w:b w:val="0"/>
                <w:bCs w:val="0"/>
              </w:rPr>
            </w:pPr>
            <w:r w:rsidRPr="00157FEE">
              <w:rPr>
                <w:rFonts w:ascii="Arial" w:hAnsi="Arial" w:cs="Arial"/>
                <w:b w:val="0"/>
                <w:bCs w:val="0"/>
              </w:rPr>
              <w:t>Alstom Transport</w:t>
            </w:r>
          </w:p>
        </w:tc>
        <w:tc>
          <w:tcPr>
            <w:tcW w:w="2711" w:type="dxa"/>
          </w:tcPr>
          <w:p w:rsidR="00B90A1F" w:rsidRPr="00157FEE" w:rsidRDefault="00B90A1F" w:rsidP="005B5DB9">
            <w:pPr>
              <w:jc w:val="center"/>
              <w:cnfStyle w:val="000000000000"/>
              <w:rPr>
                <w:rFonts w:ascii="Arial" w:hAnsi="Arial" w:cs="Arial"/>
              </w:rPr>
            </w:pPr>
            <w:r w:rsidRPr="00157FEE">
              <w:rPr>
                <w:rFonts w:ascii="Arial" w:hAnsi="Arial" w:cs="Arial"/>
              </w:rPr>
              <w:t>21</w:t>
            </w:r>
          </w:p>
        </w:tc>
      </w:tr>
    </w:tbl>
    <w:p w:rsidR="00B90A1F" w:rsidRPr="00157FEE" w:rsidRDefault="00B90A1F" w:rsidP="00B90A1F">
      <w:pPr>
        <w:rPr>
          <w:rFonts w:ascii="Arial" w:hAnsi="Arial" w:cs="Arial"/>
          <w:lang w:val="en-GB"/>
        </w:rPr>
      </w:pPr>
    </w:p>
    <w:p w:rsidR="00B90A1F" w:rsidRPr="00157FEE" w:rsidRDefault="00B90A1F" w:rsidP="00B90A1F">
      <w:pPr>
        <w:rPr>
          <w:rFonts w:ascii="Arial" w:hAnsi="Arial" w:cs="Arial"/>
          <w:lang w:val="en-GB"/>
        </w:rPr>
      </w:pPr>
      <w:r w:rsidRPr="00157FEE">
        <w:rPr>
          <w:rFonts w:ascii="Arial" w:hAnsi="Arial" w:cs="Arial"/>
          <w:lang w:val="en-GB"/>
        </w:rPr>
        <w:t xml:space="preserve">In the above list of 10 most engaged SLoCaT members, one that stands out among the others </w:t>
      </w:r>
      <w:r w:rsidR="005654FE">
        <w:rPr>
          <w:rFonts w:ascii="Arial" w:hAnsi="Arial" w:cs="Arial"/>
          <w:lang w:val="en-GB"/>
        </w:rPr>
        <w:t>is Despacio.  Despacio is a non-governmental organization</w:t>
      </w:r>
      <w:r w:rsidRPr="00157FEE">
        <w:rPr>
          <w:rFonts w:ascii="Arial" w:hAnsi="Arial" w:cs="Arial"/>
          <w:lang w:val="en-GB"/>
        </w:rPr>
        <w:t xml:space="preserve"> based in Bogota, Colombia and a waiver holding member of the SLoCaT Partnership which means that they do not pay Annual Support Fee and is not a financial Supporter of the SLoCaT Foundation.  Nevertheless, Despacio provides input and comments into almost all document prepared/facilitated by </w:t>
      </w:r>
      <w:r w:rsidR="005654FE">
        <w:rPr>
          <w:rFonts w:ascii="Arial" w:hAnsi="Arial" w:cs="Arial"/>
          <w:lang w:val="en-GB"/>
        </w:rPr>
        <w:t xml:space="preserve">the </w:t>
      </w:r>
      <w:r w:rsidRPr="00157FEE">
        <w:rPr>
          <w:rFonts w:ascii="Arial" w:hAnsi="Arial" w:cs="Arial"/>
          <w:lang w:val="en-GB"/>
        </w:rPr>
        <w:t>SLoCaT Secretariat, volunteers to manage the SLoCaT Latin America Twitter Account in Spanish, takes an active role in all SLoCaT events in Latin America and contribute to events in other regions when relevant for their mission, and provide in-kind contribution through sending one of their own staff members to Marrakech for two weeks to support SLoCaT activities during COP22.  Despacio is an excellent example of how a relatively smaller sized NGO (less than 20 staff members) from the developing world can be active in the SLoCaT Partnership.</w:t>
      </w:r>
    </w:p>
    <w:p w:rsidR="00B90A1F" w:rsidRPr="00157FEE" w:rsidRDefault="00B90A1F" w:rsidP="00157FEE">
      <w:pPr>
        <w:pStyle w:val="Heading1"/>
        <w:rPr>
          <w:rFonts w:ascii="Arial" w:hAnsi="Arial" w:cs="Arial"/>
        </w:rPr>
      </w:pPr>
      <w:r w:rsidRPr="00157FEE">
        <w:rPr>
          <w:rFonts w:ascii="Arial" w:hAnsi="Arial" w:cs="Arial"/>
        </w:rPr>
        <w:t>SLoCaT Member Interviews</w:t>
      </w:r>
    </w:p>
    <w:p w:rsidR="00B90A1F" w:rsidRPr="00157FEE" w:rsidRDefault="00B90A1F" w:rsidP="00B90A1F">
      <w:pPr>
        <w:rPr>
          <w:rFonts w:ascii="Arial" w:hAnsi="Arial" w:cs="Arial"/>
          <w:noProof/>
        </w:rPr>
      </w:pPr>
      <w:r w:rsidRPr="00157FEE">
        <w:rPr>
          <w:rFonts w:ascii="Arial" w:hAnsi="Arial" w:cs="Arial"/>
          <w:noProof/>
        </w:rPr>
        <w:t>For the second KPI, in order to understand how SLoCaT Secretariat’s performance is viewed by the SLoCaT members, the SLoCaT Secretariat is conducting phone interviews with a selected number of SLoCaT members (30 members) to hear their views on SLoCaT Secretariat's performance.  In identifying the members to be interviewed, SLoCaT Secretariat took care to create a representative sample of the composition of the Partnership;  based on varying levels of activeness, representation of different constituencies in SLoCaT and a balanced regional distribution. The interviews are conducted by five members of the SLoCaT team; Cornie Huizenga, Karl Peet, Mark Major, Alice Yiu and Talya Enriquez Romano.</w:t>
      </w:r>
    </w:p>
    <w:p w:rsidR="00B90A1F" w:rsidRPr="00157FEE" w:rsidRDefault="00B90A1F" w:rsidP="00B90A1F">
      <w:pPr>
        <w:rPr>
          <w:rFonts w:ascii="Arial" w:hAnsi="Arial" w:cs="Arial"/>
          <w:noProof/>
        </w:rPr>
      </w:pPr>
    </w:p>
    <w:p w:rsidR="00B90A1F" w:rsidRDefault="00B90A1F" w:rsidP="00B90A1F">
      <w:pPr>
        <w:rPr>
          <w:rFonts w:ascii="Arial" w:hAnsi="Arial" w:cs="Arial"/>
          <w:noProof/>
        </w:rPr>
      </w:pPr>
      <w:r w:rsidRPr="00157FEE">
        <w:rPr>
          <w:rFonts w:ascii="Arial" w:hAnsi="Arial" w:cs="Arial"/>
          <w:noProof/>
        </w:rPr>
        <w:t>In the interviews the SLoCaT members are asked to share their views on three topics, SLoCaT’s work program in 2016-2017; their membership experience and impartiality of SLoCaT Partnership. While the interviews are on-going until January 5</w:t>
      </w:r>
      <w:r w:rsidRPr="00157FEE">
        <w:rPr>
          <w:rFonts w:ascii="Arial" w:hAnsi="Arial" w:cs="Arial"/>
          <w:noProof/>
          <w:vertAlign w:val="superscript"/>
        </w:rPr>
        <w:t>th</w:t>
      </w:r>
      <w:r w:rsidRPr="00157FEE">
        <w:rPr>
          <w:rFonts w:ascii="Arial" w:hAnsi="Arial" w:cs="Arial"/>
          <w:noProof/>
        </w:rPr>
        <w:t>, a couple of observations coming out of the interviews are:</w:t>
      </w:r>
    </w:p>
    <w:p w:rsidR="00157FEE" w:rsidRPr="00157FEE" w:rsidRDefault="00157FEE" w:rsidP="00B90A1F">
      <w:pPr>
        <w:rPr>
          <w:rFonts w:ascii="Arial" w:hAnsi="Arial" w:cs="Arial"/>
          <w:noProof/>
        </w:rPr>
      </w:pPr>
    </w:p>
    <w:p w:rsidR="00B90A1F" w:rsidRPr="00157FEE" w:rsidRDefault="00B90A1F" w:rsidP="00B90A1F">
      <w:pPr>
        <w:pStyle w:val="ListParagraph"/>
        <w:numPr>
          <w:ilvl w:val="0"/>
          <w:numId w:val="13"/>
        </w:numPr>
        <w:rPr>
          <w:rFonts w:ascii="Arial" w:hAnsi="Arial" w:cs="Arial"/>
          <w:noProof/>
        </w:rPr>
      </w:pPr>
      <w:r w:rsidRPr="00157FEE">
        <w:rPr>
          <w:rFonts w:ascii="Arial" w:hAnsi="Arial" w:cs="Arial"/>
          <w:noProof/>
        </w:rPr>
        <w:t>Most of the members interviewed pleased with the work SLoCaT Partnership has done in 2016 and think that the four areas SLoCaT works in (shaping future agendas, building and documenting knowledge, connecting people and organizations and outreach) are right tpyes of activities for the Partnership.</w:t>
      </w:r>
    </w:p>
    <w:p w:rsidR="00B90A1F" w:rsidRPr="00157FEE" w:rsidRDefault="00B90A1F" w:rsidP="00B90A1F">
      <w:pPr>
        <w:pStyle w:val="ListParagraph"/>
        <w:numPr>
          <w:ilvl w:val="0"/>
          <w:numId w:val="13"/>
        </w:numPr>
        <w:rPr>
          <w:rFonts w:ascii="Arial" w:hAnsi="Arial" w:cs="Arial"/>
          <w:noProof/>
        </w:rPr>
      </w:pPr>
      <w:r w:rsidRPr="00157FEE">
        <w:rPr>
          <w:rFonts w:ascii="Arial" w:hAnsi="Arial" w:cs="Arial"/>
          <w:noProof/>
        </w:rPr>
        <w:t>The balance between climate and sustainable development seems to be appreciated by the members.  While not all members work on both areas, they understand that it is important for the SLoCaT Partnership to work on both, and create a balance between them.</w:t>
      </w:r>
    </w:p>
    <w:p w:rsidR="00B90A1F" w:rsidRPr="00157FEE" w:rsidRDefault="00B90A1F" w:rsidP="00B90A1F">
      <w:pPr>
        <w:pStyle w:val="ListParagraph"/>
        <w:numPr>
          <w:ilvl w:val="0"/>
          <w:numId w:val="13"/>
        </w:numPr>
        <w:rPr>
          <w:rFonts w:ascii="Arial" w:hAnsi="Arial" w:cs="Arial"/>
          <w:noProof/>
        </w:rPr>
      </w:pPr>
      <w:r w:rsidRPr="00157FEE">
        <w:rPr>
          <w:rFonts w:ascii="Arial" w:hAnsi="Arial" w:cs="Arial"/>
          <w:noProof/>
        </w:rPr>
        <w:t>Regarding whether SLoCaT should work more on global or regional level there are varying views. While some members prefer SLoCaT to work on the global level and bring the global issues to the members, there are other who think SLoCaT should start focusing more on regional and some cases national/city levels.</w:t>
      </w:r>
    </w:p>
    <w:p w:rsidR="00B90A1F" w:rsidRPr="00157FEE" w:rsidRDefault="00B90A1F" w:rsidP="00B90A1F">
      <w:pPr>
        <w:pStyle w:val="ListParagraph"/>
        <w:numPr>
          <w:ilvl w:val="0"/>
          <w:numId w:val="13"/>
        </w:numPr>
        <w:rPr>
          <w:rFonts w:ascii="Arial" w:hAnsi="Arial" w:cs="Arial"/>
          <w:noProof/>
        </w:rPr>
      </w:pPr>
      <w:r w:rsidRPr="00157FEE">
        <w:rPr>
          <w:rFonts w:ascii="Arial" w:hAnsi="Arial" w:cs="Arial"/>
          <w:noProof/>
        </w:rPr>
        <w:t>Overall members are happy with their membership experience.  Most members think that the bi-weekly member updates are useful to inform them on activities of the SLoCaT Partnership and deem the content and frequency to be appropriate.</w:t>
      </w:r>
    </w:p>
    <w:p w:rsidR="00B90A1F" w:rsidRPr="00157FEE" w:rsidRDefault="00B90A1F" w:rsidP="00B90A1F">
      <w:pPr>
        <w:pStyle w:val="ListParagraph"/>
        <w:numPr>
          <w:ilvl w:val="0"/>
          <w:numId w:val="13"/>
        </w:numPr>
        <w:rPr>
          <w:rFonts w:ascii="Arial" w:hAnsi="Arial" w:cs="Arial"/>
          <w:noProof/>
          <w:szCs w:val="24"/>
        </w:rPr>
      </w:pPr>
      <w:r w:rsidRPr="00157FEE">
        <w:rPr>
          <w:rFonts w:ascii="Arial" w:hAnsi="Arial" w:cs="Arial"/>
          <w:noProof/>
          <w:szCs w:val="24"/>
        </w:rPr>
        <w:t xml:space="preserve">There were interesting suggestions from some of the new members on how SLoCaT can act as a networker to introduce different SLoCaT members to each other, and create linkages within the membership. </w:t>
      </w:r>
    </w:p>
    <w:p w:rsidR="00B90A1F" w:rsidRPr="00157FEE" w:rsidRDefault="00B90A1F" w:rsidP="00B90A1F">
      <w:pPr>
        <w:pStyle w:val="ListParagraph"/>
        <w:numPr>
          <w:ilvl w:val="0"/>
          <w:numId w:val="13"/>
        </w:numPr>
        <w:rPr>
          <w:rFonts w:ascii="Arial" w:hAnsi="Arial" w:cs="Arial"/>
          <w:noProof/>
          <w:szCs w:val="24"/>
        </w:rPr>
      </w:pPr>
      <w:r w:rsidRPr="00157FEE">
        <w:rPr>
          <w:rFonts w:ascii="Arial" w:hAnsi="Arial" w:cs="Arial"/>
          <w:noProof/>
          <w:szCs w:val="24"/>
        </w:rPr>
        <w:t>On the impartiliaty, most of the members who were interviewed consider the Impartiliaty Committee to be a useful organization and suggest that it is carried out every two years.</w:t>
      </w:r>
    </w:p>
    <w:p w:rsidR="00B90A1F" w:rsidRPr="00157FEE" w:rsidRDefault="00B90A1F" w:rsidP="00B90A1F">
      <w:pPr>
        <w:rPr>
          <w:rFonts w:ascii="Arial" w:hAnsi="Arial" w:cs="Arial"/>
          <w:noProof/>
          <w:szCs w:val="24"/>
        </w:rPr>
      </w:pPr>
    </w:p>
    <w:p w:rsidR="00B90A1F" w:rsidRPr="00157FEE" w:rsidRDefault="00157FEE" w:rsidP="00B90A1F">
      <w:pPr>
        <w:rPr>
          <w:rFonts w:ascii="Arial" w:hAnsi="Arial" w:cs="Arial"/>
          <w:noProof/>
          <w:szCs w:val="24"/>
        </w:rPr>
      </w:pPr>
      <w:r>
        <w:rPr>
          <w:rFonts w:ascii="Arial" w:hAnsi="Arial" w:cs="Arial"/>
          <w:noProof/>
          <w:szCs w:val="24"/>
        </w:rPr>
        <w:lastRenderedPageBreak/>
        <w:t xml:space="preserve">A </w:t>
      </w:r>
      <w:r w:rsidR="00B90A1F" w:rsidRPr="00157FEE">
        <w:rPr>
          <w:rFonts w:ascii="Arial" w:hAnsi="Arial" w:cs="Arial"/>
          <w:noProof/>
          <w:szCs w:val="24"/>
        </w:rPr>
        <w:t xml:space="preserve">more comprehensive result of these informal interviews will be shared with the SLoCaT members at Annual Meeting on January 9th and at the Board Meeting on January 10th.  </w:t>
      </w:r>
    </w:p>
    <w:p w:rsidR="00B90A1F" w:rsidRPr="00157FEE" w:rsidRDefault="00B90A1F" w:rsidP="00157FEE">
      <w:pPr>
        <w:pStyle w:val="Heading1"/>
        <w:rPr>
          <w:rFonts w:ascii="Arial" w:hAnsi="Arial" w:cs="Arial"/>
        </w:rPr>
      </w:pPr>
      <w:r w:rsidRPr="00157FEE">
        <w:rPr>
          <w:rFonts w:ascii="Arial" w:hAnsi="Arial" w:cs="Arial"/>
        </w:rPr>
        <w:t>Plans for Increasing Member Engagement for  in 2017</w:t>
      </w:r>
    </w:p>
    <w:p w:rsidR="00B90A1F" w:rsidRPr="00157FEE" w:rsidRDefault="00B90A1F" w:rsidP="00B90A1F">
      <w:pPr>
        <w:tabs>
          <w:tab w:val="left" w:pos="6735"/>
        </w:tabs>
        <w:rPr>
          <w:rFonts w:ascii="Arial" w:hAnsi="Arial" w:cs="Arial"/>
          <w:sz w:val="24"/>
          <w:szCs w:val="24"/>
        </w:rPr>
      </w:pPr>
    </w:p>
    <w:p w:rsidR="00B90A1F" w:rsidRPr="00157FEE" w:rsidRDefault="00B90A1F" w:rsidP="005654FE">
      <w:pPr>
        <w:tabs>
          <w:tab w:val="left" w:pos="6735"/>
        </w:tabs>
        <w:rPr>
          <w:rFonts w:ascii="Arial" w:hAnsi="Arial" w:cs="Arial"/>
        </w:rPr>
      </w:pPr>
      <w:r w:rsidRPr="00157FEE">
        <w:rPr>
          <w:rFonts w:ascii="Arial" w:hAnsi="Arial" w:cs="Arial"/>
        </w:rPr>
        <w:t>Based on the Membership Engagement Overview 7</w:t>
      </w:r>
      <w:r w:rsidR="005654FE">
        <w:rPr>
          <w:rFonts w:ascii="Arial" w:hAnsi="Arial" w:cs="Arial"/>
        </w:rPr>
        <w:t>8</w:t>
      </w:r>
      <w:r w:rsidRPr="00157FEE">
        <w:rPr>
          <w:rFonts w:ascii="Arial" w:hAnsi="Arial" w:cs="Arial"/>
        </w:rPr>
        <w:t xml:space="preserve">% of SLoCaT Members engaged in at least one or more activity of the SLoCaT Partnership in 2016. While this ratio meets the SLoCaT Key Performance Indicator which states that 75% of members should be engaged in SLoCaT activities; there is certainly room for improvement, especially in increasing participation of member organizations based in the Global South. </w:t>
      </w:r>
      <w:r w:rsidRPr="00157FEE">
        <w:rPr>
          <w:rFonts w:ascii="Arial" w:hAnsi="Arial" w:cs="Arial"/>
        </w:rPr>
        <w:tab/>
      </w:r>
    </w:p>
    <w:p w:rsidR="00B90A1F" w:rsidRPr="00157FEE" w:rsidRDefault="00B90A1F" w:rsidP="00B90A1F">
      <w:pPr>
        <w:tabs>
          <w:tab w:val="left" w:pos="6735"/>
        </w:tabs>
        <w:rPr>
          <w:rFonts w:ascii="Arial" w:hAnsi="Arial" w:cs="Arial"/>
        </w:rPr>
      </w:pPr>
    </w:p>
    <w:p w:rsidR="00B90A1F" w:rsidRDefault="00B90A1F" w:rsidP="00B90A1F">
      <w:pPr>
        <w:tabs>
          <w:tab w:val="left" w:pos="6735"/>
        </w:tabs>
        <w:rPr>
          <w:rFonts w:ascii="Arial" w:hAnsi="Arial" w:cs="Arial"/>
        </w:rPr>
      </w:pPr>
      <w:r w:rsidRPr="00157FEE">
        <w:rPr>
          <w:rFonts w:ascii="Arial" w:hAnsi="Arial" w:cs="Arial"/>
        </w:rPr>
        <w:t>Suggestions to increase member engagement in SLoCaT Partnership in 2017:</w:t>
      </w:r>
    </w:p>
    <w:p w:rsidR="00157FEE" w:rsidRPr="00157FEE" w:rsidRDefault="00157FEE" w:rsidP="00B90A1F">
      <w:pPr>
        <w:tabs>
          <w:tab w:val="left" w:pos="6735"/>
        </w:tabs>
        <w:rPr>
          <w:rFonts w:ascii="Arial" w:hAnsi="Arial" w:cs="Arial"/>
        </w:rPr>
      </w:pPr>
      <w:bookmarkStart w:id="0" w:name="_GoBack"/>
      <w:bookmarkEnd w:id="0"/>
    </w:p>
    <w:p w:rsidR="00B90A1F" w:rsidRPr="00157FEE" w:rsidRDefault="00B90A1F" w:rsidP="00B90A1F">
      <w:pPr>
        <w:pStyle w:val="ListParagraph"/>
        <w:numPr>
          <w:ilvl w:val="0"/>
          <w:numId w:val="15"/>
        </w:numPr>
        <w:tabs>
          <w:tab w:val="left" w:pos="6735"/>
        </w:tabs>
        <w:rPr>
          <w:rFonts w:ascii="Arial" w:hAnsi="Arial" w:cs="Arial"/>
        </w:rPr>
      </w:pPr>
      <w:r w:rsidRPr="00157FEE">
        <w:rPr>
          <w:rFonts w:ascii="Arial" w:hAnsi="Arial" w:cs="Arial"/>
          <w:b/>
          <w:bCs/>
          <w:i/>
          <w:iCs/>
        </w:rPr>
        <w:t xml:space="preserve">Encourage the less active SLoCaT members to participate in commenting and outreach activities: </w:t>
      </w:r>
      <w:r w:rsidRPr="00157FEE">
        <w:rPr>
          <w:rFonts w:ascii="Arial" w:hAnsi="Arial" w:cs="Arial"/>
        </w:rPr>
        <w:t xml:space="preserve">Commenting and outreach support are the two low-hanging fruits for engaging in SLoCaT activities. These can easily be done by members from a long distance and do not require physical participation or allocation of financial resources.  In 2017, SLoCaT Secretariat will make targeted outreach to those SLoCaT members in developing world to encourage them to provide inputs to policies or interact with SLoCaT through social media.  </w:t>
      </w:r>
    </w:p>
    <w:p w:rsidR="00B90A1F" w:rsidRPr="00157FEE" w:rsidRDefault="00B90A1F" w:rsidP="00B90A1F">
      <w:pPr>
        <w:pStyle w:val="ListParagraph"/>
        <w:tabs>
          <w:tab w:val="left" w:pos="6735"/>
        </w:tabs>
        <w:rPr>
          <w:rFonts w:ascii="Arial" w:hAnsi="Arial" w:cs="Arial"/>
        </w:rPr>
      </w:pPr>
    </w:p>
    <w:p w:rsidR="00B90A1F" w:rsidRPr="00157FEE" w:rsidRDefault="00B90A1F" w:rsidP="00B90A1F">
      <w:pPr>
        <w:pStyle w:val="ListParagraph"/>
        <w:numPr>
          <w:ilvl w:val="0"/>
          <w:numId w:val="15"/>
        </w:numPr>
        <w:tabs>
          <w:tab w:val="left" w:pos="6735"/>
        </w:tabs>
        <w:rPr>
          <w:rFonts w:ascii="Arial" w:hAnsi="Arial" w:cs="Arial"/>
        </w:rPr>
      </w:pPr>
      <w:r w:rsidRPr="00157FEE">
        <w:rPr>
          <w:rFonts w:ascii="Arial" w:hAnsi="Arial" w:cs="Arial"/>
          <w:b/>
          <w:bCs/>
          <w:i/>
          <w:iCs/>
        </w:rPr>
        <w:t>SLoCaT Member Presentation Webinars</w:t>
      </w:r>
      <w:r w:rsidRPr="00157FEE">
        <w:rPr>
          <w:rFonts w:ascii="Arial" w:hAnsi="Arial" w:cs="Arial"/>
          <w:b/>
          <w:bCs/>
        </w:rPr>
        <w:t>:</w:t>
      </w:r>
      <w:r w:rsidRPr="00157FEE">
        <w:rPr>
          <w:rFonts w:ascii="Arial" w:hAnsi="Arial" w:cs="Arial"/>
        </w:rPr>
        <w:t xml:space="preserve"> One of the suggestions that came up in the member interviews was to organize webinars where SLoCaT members present their work to each other.  Given the challenges in bringing 90 members in the same room physically, bringing members together through periodical webinars where members can cooperate with each other can strengthen the network aspect of the SLoCaT Partnership. These webinars could be like “virtual speed dating for sustainable transport organizations” and provide an opportunity for members, especially the new SLoCaT members, to better know each other. </w:t>
      </w:r>
    </w:p>
    <w:p w:rsidR="00B90A1F" w:rsidRPr="00157FEE" w:rsidRDefault="00B90A1F" w:rsidP="00B90A1F">
      <w:pPr>
        <w:pStyle w:val="ListParagraph"/>
        <w:tabs>
          <w:tab w:val="left" w:pos="6735"/>
        </w:tabs>
        <w:rPr>
          <w:rFonts w:ascii="Arial" w:hAnsi="Arial" w:cs="Arial"/>
        </w:rPr>
      </w:pPr>
    </w:p>
    <w:p w:rsidR="00B90A1F" w:rsidRPr="00157FEE" w:rsidRDefault="00B90A1F" w:rsidP="00B90A1F">
      <w:pPr>
        <w:pStyle w:val="ListParagraph"/>
        <w:numPr>
          <w:ilvl w:val="0"/>
          <w:numId w:val="15"/>
        </w:numPr>
        <w:tabs>
          <w:tab w:val="left" w:pos="6735"/>
        </w:tabs>
        <w:rPr>
          <w:rFonts w:ascii="Arial" w:hAnsi="Arial" w:cs="Arial"/>
        </w:rPr>
      </w:pPr>
      <w:r w:rsidRPr="00157FEE">
        <w:rPr>
          <w:rFonts w:ascii="Arial" w:hAnsi="Arial" w:cs="Arial"/>
          <w:b/>
          <w:bCs/>
          <w:i/>
          <w:iCs/>
        </w:rPr>
        <w:t xml:space="preserve">SLoCaT Board Committee on Membership Engagement: </w:t>
      </w:r>
      <w:r w:rsidRPr="00157FEE">
        <w:rPr>
          <w:rFonts w:ascii="Arial" w:hAnsi="Arial" w:cs="Arial"/>
        </w:rPr>
        <w:t xml:space="preserve">The composition of the current SLoCaT Board is regionally pretty diverse with Board Members from Africa, Latin America and Asia forming half the Board.  Based on this one proposal would be to set up a Board Committee on Membership Engagement.  Different Board Members can be in charge of reaching out to the SLoCaT members in their own regions and cultivate their engagement in SLoCaT Activities. </w:t>
      </w:r>
    </w:p>
    <w:p w:rsidR="00B90A1F" w:rsidRPr="00157FEE" w:rsidRDefault="00B90A1F" w:rsidP="00B90A1F">
      <w:pPr>
        <w:pStyle w:val="ListParagraph"/>
        <w:tabs>
          <w:tab w:val="left" w:pos="6735"/>
        </w:tabs>
        <w:rPr>
          <w:rFonts w:ascii="Arial" w:hAnsi="Arial" w:cs="Arial"/>
        </w:rPr>
      </w:pPr>
    </w:p>
    <w:p w:rsidR="00B90A1F" w:rsidRPr="00157FEE" w:rsidRDefault="00B90A1F" w:rsidP="00B90A1F">
      <w:pPr>
        <w:pStyle w:val="ListParagraph"/>
        <w:numPr>
          <w:ilvl w:val="0"/>
          <w:numId w:val="15"/>
        </w:numPr>
        <w:tabs>
          <w:tab w:val="left" w:pos="6735"/>
        </w:tabs>
        <w:rPr>
          <w:rFonts w:ascii="Arial" w:hAnsi="Arial" w:cs="Arial"/>
        </w:rPr>
      </w:pPr>
      <w:r w:rsidRPr="00157FEE">
        <w:rPr>
          <w:rFonts w:ascii="Arial" w:hAnsi="Arial" w:cs="Arial"/>
          <w:b/>
          <w:bCs/>
          <w:i/>
          <w:iCs/>
        </w:rPr>
        <w:t xml:space="preserve">Peer to peer mentoring between active and less active SLoCaT members: </w:t>
      </w:r>
      <w:r w:rsidRPr="00157FEE">
        <w:rPr>
          <w:rFonts w:ascii="Arial" w:hAnsi="Arial" w:cs="Arial"/>
        </w:rPr>
        <w:t xml:space="preserve">As indicated previously, SLoCaT members differ in size, budget, capacity and experience in sustainable, low transport issues.  One suggestion for next year could be to set up peer to peer mentoring between organizations working in the same region or on similar topics.  The organizations with more experience on sustainable transport can provide support to those members who need access to contacts, resources or knowledge. The mentoring could also help to see how the less active SLoCaT members can play more active role in their own region. </w:t>
      </w:r>
    </w:p>
    <w:p w:rsidR="00510C06" w:rsidRPr="00157FEE" w:rsidRDefault="00510C06">
      <w:pPr>
        <w:rPr>
          <w:rFonts w:ascii="Arial" w:eastAsiaTheme="majorEastAsia" w:hAnsi="Arial" w:cs="Arial"/>
          <w:b/>
          <w:bCs/>
          <w:noProof/>
          <w:color w:val="2E74B5" w:themeColor="accent1" w:themeShade="BF"/>
          <w:sz w:val="28"/>
          <w:szCs w:val="28"/>
          <w:lang w:val="en-GB"/>
        </w:rPr>
      </w:pPr>
      <w:r w:rsidRPr="00157FEE">
        <w:rPr>
          <w:rFonts w:ascii="Arial" w:hAnsi="Arial" w:cs="Arial"/>
          <w:lang w:val="en-GB"/>
        </w:rPr>
        <w:br w:type="page"/>
      </w:r>
    </w:p>
    <w:p w:rsidR="00B90A1F" w:rsidRPr="00157FEE" w:rsidRDefault="00510C06" w:rsidP="00510C06">
      <w:pPr>
        <w:pStyle w:val="Heading1"/>
        <w:numPr>
          <w:ilvl w:val="0"/>
          <w:numId w:val="0"/>
        </w:numPr>
        <w:rPr>
          <w:rFonts w:ascii="Arial" w:hAnsi="Arial" w:cs="Arial"/>
          <w:sz w:val="24"/>
          <w:lang w:val="en-GB"/>
        </w:rPr>
      </w:pPr>
      <w:r w:rsidRPr="00157FEE">
        <w:rPr>
          <w:rFonts w:ascii="Arial" w:hAnsi="Arial" w:cs="Arial"/>
          <w:sz w:val="24"/>
          <w:lang w:val="en-GB"/>
        </w:rPr>
        <w:lastRenderedPageBreak/>
        <w:t xml:space="preserve">Annex: </w:t>
      </w:r>
      <w:r w:rsidR="00B90A1F" w:rsidRPr="00157FEE">
        <w:rPr>
          <w:rFonts w:ascii="Arial" w:hAnsi="Arial" w:cs="Arial"/>
          <w:sz w:val="24"/>
          <w:lang w:val="en-GB"/>
        </w:rPr>
        <w:t>Engagement of SLoCaT Members in SLoCaT activities</w:t>
      </w:r>
      <w:r w:rsidRPr="00157FEE">
        <w:rPr>
          <w:rFonts w:ascii="Arial" w:hAnsi="Arial" w:cs="Arial"/>
          <w:sz w:val="24"/>
          <w:lang w:val="en-GB"/>
        </w:rPr>
        <w:t xml:space="preserve"> (as per December 20</w:t>
      </w:r>
      <w:r w:rsidRPr="00157FEE">
        <w:rPr>
          <w:rFonts w:ascii="Arial" w:hAnsi="Arial" w:cs="Arial"/>
          <w:sz w:val="24"/>
          <w:vertAlign w:val="superscript"/>
          <w:lang w:val="en-GB"/>
        </w:rPr>
        <w:t>th</w:t>
      </w:r>
      <w:r w:rsidRPr="00157FEE">
        <w:rPr>
          <w:rFonts w:ascii="Arial" w:hAnsi="Arial" w:cs="Arial"/>
          <w:sz w:val="24"/>
          <w:lang w:val="en-GB"/>
        </w:rPr>
        <w:t xml:space="preserve"> 2016)</w:t>
      </w:r>
    </w:p>
    <w:p w:rsidR="00157FEE" w:rsidRPr="00157FEE" w:rsidRDefault="00157FEE" w:rsidP="00157FEE">
      <w:pPr>
        <w:rPr>
          <w:rFonts w:ascii="Arial" w:hAnsi="Arial" w:cs="Arial"/>
        </w:rPr>
      </w:pPr>
    </w:p>
    <w:tbl>
      <w:tblPr>
        <w:tblStyle w:val="MediumGrid3-Accent1"/>
        <w:tblpPr w:leftFromText="180" w:rightFromText="180" w:vertAnchor="text" w:tblpY="1"/>
        <w:tblW w:w="0" w:type="auto"/>
        <w:tblLayout w:type="fixed"/>
        <w:tblLook w:val="04A0"/>
      </w:tblPr>
      <w:tblGrid>
        <w:gridCol w:w="4490"/>
        <w:gridCol w:w="788"/>
        <w:gridCol w:w="713"/>
        <w:gridCol w:w="713"/>
        <w:gridCol w:w="694"/>
        <w:gridCol w:w="554"/>
        <w:gridCol w:w="802"/>
        <w:gridCol w:w="731"/>
      </w:tblGrid>
      <w:tr w:rsidR="00B90A1F" w:rsidRPr="00157FEE" w:rsidTr="00157FEE">
        <w:trPr>
          <w:cnfStyle w:val="100000000000"/>
          <w:trHeight w:val="1513"/>
          <w:tblHeader/>
        </w:trPr>
        <w:tc>
          <w:tcPr>
            <w:cnfStyle w:val="001000000000"/>
            <w:tcW w:w="4490" w:type="dxa"/>
            <w:vAlign w:val="center"/>
            <w:hideMark/>
          </w:tcPr>
          <w:p w:rsidR="00B90A1F" w:rsidRPr="00157FEE" w:rsidRDefault="00B90A1F" w:rsidP="005B5DB9">
            <w:pPr>
              <w:rPr>
                <w:rFonts w:ascii="Arial" w:hAnsi="Arial" w:cs="Arial"/>
              </w:rPr>
            </w:pPr>
            <w:r w:rsidRPr="00157FEE">
              <w:rPr>
                <w:rFonts w:ascii="Arial" w:hAnsi="Arial" w:cs="Arial"/>
              </w:rPr>
              <w:t xml:space="preserve">SLoCaT Members </w:t>
            </w:r>
          </w:p>
        </w:tc>
        <w:tc>
          <w:tcPr>
            <w:tcW w:w="788" w:type="dxa"/>
            <w:textDirection w:val="btLr"/>
            <w:hideMark/>
          </w:tcPr>
          <w:p w:rsidR="00B90A1F" w:rsidRPr="00157FEE" w:rsidRDefault="00B90A1F" w:rsidP="005B5DB9">
            <w:pPr>
              <w:ind w:left="113" w:right="113"/>
              <w:jc w:val="center"/>
              <w:cnfStyle w:val="100000000000"/>
              <w:rPr>
                <w:rFonts w:ascii="Arial" w:hAnsi="Arial" w:cs="Arial"/>
              </w:rPr>
            </w:pPr>
            <w:r w:rsidRPr="00157FEE">
              <w:rPr>
                <w:rFonts w:ascii="Arial" w:hAnsi="Arial" w:cs="Arial"/>
              </w:rPr>
              <w:t>In-Kind Contribution</w:t>
            </w:r>
          </w:p>
        </w:tc>
        <w:tc>
          <w:tcPr>
            <w:tcW w:w="713" w:type="dxa"/>
            <w:textDirection w:val="btLr"/>
            <w:hideMark/>
          </w:tcPr>
          <w:p w:rsidR="00B90A1F" w:rsidRPr="00157FEE" w:rsidRDefault="00B90A1F" w:rsidP="005B5DB9">
            <w:pPr>
              <w:ind w:left="113" w:right="113"/>
              <w:jc w:val="center"/>
              <w:cnfStyle w:val="100000000000"/>
              <w:rPr>
                <w:rFonts w:ascii="Arial" w:hAnsi="Arial" w:cs="Arial"/>
              </w:rPr>
            </w:pPr>
            <w:r w:rsidRPr="00157FEE">
              <w:rPr>
                <w:rFonts w:ascii="Arial" w:hAnsi="Arial" w:cs="Arial"/>
              </w:rPr>
              <w:t>Financial Contribution</w:t>
            </w:r>
          </w:p>
        </w:tc>
        <w:tc>
          <w:tcPr>
            <w:tcW w:w="713" w:type="dxa"/>
            <w:textDirection w:val="btLr"/>
            <w:hideMark/>
          </w:tcPr>
          <w:p w:rsidR="00B90A1F" w:rsidRPr="00157FEE" w:rsidRDefault="00B90A1F" w:rsidP="005B5DB9">
            <w:pPr>
              <w:ind w:left="113" w:right="113"/>
              <w:jc w:val="center"/>
              <w:cnfStyle w:val="100000000000"/>
              <w:rPr>
                <w:rFonts w:ascii="Arial" w:hAnsi="Arial" w:cs="Arial"/>
              </w:rPr>
            </w:pPr>
            <w:r w:rsidRPr="00157FEE">
              <w:rPr>
                <w:rFonts w:ascii="Arial" w:hAnsi="Arial" w:cs="Arial"/>
              </w:rPr>
              <w:t>Events</w:t>
            </w:r>
          </w:p>
        </w:tc>
        <w:tc>
          <w:tcPr>
            <w:tcW w:w="694" w:type="dxa"/>
            <w:textDirection w:val="btLr"/>
            <w:hideMark/>
          </w:tcPr>
          <w:p w:rsidR="00B90A1F" w:rsidRPr="00157FEE" w:rsidRDefault="00B90A1F" w:rsidP="005B5DB9">
            <w:pPr>
              <w:ind w:left="113" w:right="113"/>
              <w:jc w:val="center"/>
              <w:cnfStyle w:val="100000000000"/>
              <w:rPr>
                <w:rFonts w:ascii="Arial" w:hAnsi="Arial" w:cs="Arial"/>
              </w:rPr>
            </w:pPr>
            <w:r w:rsidRPr="00157FEE">
              <w:rPr>
                <w:rFonts w:ascii="Arial" w:hAnsi="Arial" w:cs="Arial"/>
              </w:rPr>
              <w:t>Commenting</w:t>
            </w:r>
          </w:p>
        </w:tc>
        <w:tc>
          <w:tcPr>
            <w:tcW w:w="554" w:type="dxa"/>
            <w:textDirection w:val="btLr"/>
            <w:hideMark/>
          </w:tcPr>
          <w:p w:rsidR="00B90A1F" w:rsidRPr="00157FEE" w:rsidRDefault="00B90A1F" w:rsidP="005B5DB9">
            <w:pPr>
              <w:ind w:left="113" w:right="113"/>
              <w:jc w:val="center"/>
              <w:cnfStyle w:val="100000000000"/>
              <w:rPr>
                <w:rFonts w:ascii="Arial" w:hAnsi="Arial" w:cs="Arial"/>
              </w:rPr>
            </w:pPr>
            <w:r w:rsidRPr="00157FEE">
              <w:rPr>
                <w:rFonts w:ascii="Arial" w:hAnsi="Arial" w:cs="Arial"/>
              </w:rPr>
              <w:t>Governance</w:t>
            </w:r>
          </w:p>
        </w:tc>
        <w:tc>
          <w:tcPr>
            <w:tcW w:w="802" w:type="dxa"/>
            <w:textDirection w:val="btLr"/>
            <w:hideMark/>
          </w:tcPr>
          <w:p w:rsidR="00B90A1F" w:rsidRPr="00157FEE" w:rsidRDefault="00B90A1F" w:rsidP="005B5DB9">
            <w:pPr>
              <w:ind w:left="113" w:right="113"/>
              <w:jc w:val="center"/>
              <w:cnfStyle w:val="100000000000"/>
              <w:rPr>
                <w:rFonts w:ascii="Arial" w:hAnsi="Arial" w:cs="Arial"/>
              </w:rPr>
            </w:pPr>
            <w:r w:rsidRPr="00157FEE">
              <w:rPr>
                <w:rFonts w:ascii="Arial" w:hAnsi="Arial" w:cs="Arial"/>
              </w:rPr>
              <w:t>Outreach Support</w:t>
            </w:r>
          </w:p>
        </w:tc>
        <w:tc>
          <w:tcPr>
            <w:tcW w:w="731" w:type="dxa"/>
            <w:textDirection w:val="btLr"/>
            <w:hideMark/>
          </w:tcPr>
          <w:p w:rsidR="00B90A1F" w:rsidRPr="00157FEE" w:rsidRDefault="00B90A1F" w:rsidP="005B5DB9">
            <w:pPr>
              <w:ind w:left="113" w:right="113"/>
              <w:jc w:val="center"/>
              <w:cnfStyle w:val="100000000000"/>
              <w:rPr>
                <w:rFonts w:ascii="Arial" w:hAnsi="Arial" w:cs="Arial"/>
              </w:rPr>
            </w:pPr>
            <w:r w:rsidRPr="00157FEE">
              <w:rPr>
                <w:rFonts w:ascii="Arial" w:hAnsi="Arial" w:cs="Arial"/>
              </w:rPr>
              <w:t>Total Interactions</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Africa Transport Policy Program (SSATP)</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0</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African Development Bank (AfDB)</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2</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lang w:val="fr-FR"/>
              </w:rPr>
            </w:pPr>
            <w:r w:rsidRPr="00157FEE">
              <w:rPr>
                <w:rFonts w:ascii="Arial" w:hAnsi="Arial" w:cs="Arial"/>
                <w:b w:val="0"/>
                <w:lang w:val="fr-FR"/>
              </w:rPr>
              <w:t>Agence Française de Développement (AFD)</w:t>
            </w:r>
          </w:p>
        </w:tc>
        <w:tc>
          <w:tcPr>
            <w:tcW w:w="788" w:type="dxa"/>
            <w:hideMark/>
          </w:tcPr>
          <w:p w:rsidR="00B90A1F" w:rsidRPr="00157FEE" w:rsidRDefault="00B90A1F" w:rsidP="005B5DB9">
            <w:pPr>
              <w:jc w:val="center"/>
              <w:cnfStyle w:val="000000100000"/>
              <w:rPr>
                <w:rFonts w:ascii="Arial" w:hAnsi="Arial" w:cs="Arial"/>
                <w:lang w:val="fr-FR"/>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6</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ALSTOM Transport</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3</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5</w:t>
            </w:r>
          </w:p>
        </w:tc>
        <w:tc>
          <w:tcPr>
            <w:tcW w:w="55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13</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Asian Development Bank (ADB)</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5</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Brake</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3</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BRT Center of Excellence</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6</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CAF-Development Bank of Latin America</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10</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16</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Center for Clean Air Policy (CCAP)</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2</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Center for Science and Environment (CSE)</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Center for Sustainable Transport (CTS) Mexico</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Centre for Environment Planning and Technology (CEPT) Ahmedabad</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Centre for Green Mobility (CGM)</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China Urban Transport Research Centre (CUSTReC)</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Clean Air Asia (CAI-Asia)</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3</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6</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Clean Air Institute (CAI)</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0</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Climate Bonds Initiative (CBI)</w:t>
            </w:r>
          </w:p>
        </w:tc>
        <w:tc>
          <w:tcPr>
            <w:tcW w:w="788"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6</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Climate Works</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2</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CODATU</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10</w:t>
            </w: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13</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Despacio</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6</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14</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Deutsche Gesellschaft für Internationale Zusammenarbeit (GIZ)</w:t>
            </w:r>
          </w:p>
        </w:tc>
        <w:tc>
          <w:tcPr>
            <w:tcW w:w="788"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9</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5</w:t>
            </w:r>
          </w:p>
        </w:tc>
        <w:tc>
          <w:tcPr>
            <w:tcW w:w="55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000000"/>
              <w:rPr>
                <w:rFonts w:ascii="Arial" w:hAnsi="Arial" w:cs="Arial"/>
              </w:rPr>
            </w:pPr>
            <w:r w:rsidRPr="00157FEE">
              <w:rPr>
                <w:rFonts w:ascii="Arial" w:hAnsi="Arial" w:cs="Arial"/>
              </w:rPr>
              <w:t>4</w:t>
            </w: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22</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EMBARQ, The World Resources institute (WRI) Ross Center for Sustainable Cities</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12</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5</w:t>
            </w:r>
          </w:p>
        </w:tc>
        <w:tc>
          <w:tcPr>
            <w:tcW w:w="55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4</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25</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European Bank for Reconstruction and Development (EBRD)</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European Cyclists' Federation (ECF)</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11</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6</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21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European Investment Bank (EIB)</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3</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Fia Foundation</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10</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4</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19</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First African Bicycle Information Organization (FABIO)</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Ford Foundation</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8</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Global Environmental Facility (GEF)</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2</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Global Urban Development (GUD)</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0</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lastRenderedPageBreak/>
              <w:t>Green Mobility Institute</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Grutter Consulting</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Health Bridge</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4</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Hewlett Foundation</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3</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ICLEI-Local Governments for Sustainability</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3</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3</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11</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Innovation Center for Energy and Transportation (iCET)</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Institute for Global Environmental Strategies (IGES)</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Institute for Transport Policy Studies (ITPS)</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0</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Institute for Transport Studies, University of Leeds, UK, (ITS)</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Institute for Transportation and Development Policy (ITDP)</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4</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11</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8</w:t>
            </w:r>
          </w:p>
        </w:tc>
        <w:tc>
          <w:tcPr>
            <w:tcW w:w="55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30</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Institute of Transportation Studies, University of California, Davis (ITS)</w:t>
            </w:r>
          </w:p>
        </w:tc>
        <w:tc>
          <w:tcPr>
            <w:tcW w:w="788"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6</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Institute of Urban Transport India (IUTI)</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0</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Inter-American Development Bank (IDB)</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2</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International Association for Public Transport (UITP)</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11</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55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21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International Energy Agency (IEA)</w:t>
            </w:r>
          </w:p>
        </w:tc>
        <w:tc>
          <w:tcPr>
            <w:tcW w:w="788"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5</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7</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International Road Assessment Program (iRAP)</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4</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7</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International Road Federation (IRF)</w:t>
            </w:r>
          </w:p>
        </w:tc>
        <w:tc>
          <w:tcPr>
            <w:tcW w:w="788"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3</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International Transport Forum (ITF)</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4</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5</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International Union of Railways (UIC)</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6</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0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12</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Islamic Development Bank</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3</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Korean Transport Institute (KOTI)</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Michelin Challenge Bibendum</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20</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24</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National Center for Transportation Studies (NCTS), Philippines</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Nordic Development Fund (NDF)</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2</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Polis Network</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3</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REN 21</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4</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Renewable Energy and Energy Efficiency Partnership (REEEP)</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Research for Community Access Partnership (RECAP)</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2</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Ricardo Energy &amp; Environment</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Smarter than Car</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Stockholm Environment Institute (SEI)</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Sustainable Transport Africa (STA)</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8</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The Energy and Resources Institute (TERI)</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3</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lang w:val="fr-FR"/>
              </w:rPr>
            </w:pPr>
            <w:r w:rsidRPr="00157FEE">
              <w:rPr>
                <w:rFonts w:ascii="Arial" w:hAnsi="Arial" w:cs="Arial"/>
                <w:b w:val="0"/>
                <w:lang w:val="fr-FR"/>
              </w:rPr>
              <w:t>Transport and Environment  (T+E)</w:t>
            </w:r>
          </w:p>
        </w:tc>
        <w:tc>
          <w:tcPr>
            <w:tcW w:w="788" w:type="dxa"/>
            <w:hideMark/>
          </w:tcPr>
          <w:p w:rsidR="00B90A1F" w:rsidRPr="00157FEE" w:rsidRDefault="00B90A1F" w:rsidP="005B5DB9">
            <w:pPr>
              <w:jc w:val="center"/>
              <w:cnfStyle w:val="000000100000"/>
              <w:rPr>
                <w:rFonts w:ascii="Arial" w:hAnsi="Arial" w:cs="Arial"/>
                <w:lang w:val="fr-FR"/>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Transport Planning and Research Institute (TPRI)</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Transport Research Laboratory (TRL)</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2</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 xml:space="preserve">Uganda Road Sector Support Initiative </w:t>
            </w:r>
            <w:r w:rsidRPr="00157FEE">
              <w:rPr>
                <w:rFonts w:ascii="Arial" w:hAnsi="Arial" w:cs="Arial"/>
                <w:b w:val="0"/>
              </w:rPr>
              <w:lastRenderedPageBreak/>
              <w:t>(URSSI)</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lastRenderedPageBreak/>
              <w:t>UNIFE (The European Rail Industry)</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5</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United Nations Center for Regional Development (UNCRD)</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3</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United Nations Department for Economic and Social Affairs (UN-DESA)</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2</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United Nations Development Program (UNDP)</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2</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United Nations Economic and Social Commission for Asia and the Pacific (ESCAP)</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3</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United Nations Economic Commission for Europe (UNECE)</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3</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4</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United Nations Economic Commission for Latin America and the Caribbean(CEPAL)</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3</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United Nations Human Settlement Program (UN-HABITAT)</w:t>
            </w:r>
          </w:p>
        </w:tc>
        <w:tc>
          <w:tcPr>
            <w:tcW w:w="788"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9</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11</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United Nations Industrial Development  Organization (UNIDO)</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United Nations Office for Project Services (UNOPS)</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University of Capetown</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0</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University of Transport and Communication (UTCC) Hanoi</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University of Twente/ITC-Department of Urban and Regional Planning (ITC)</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0</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Victoria Transport Policy Institute</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3</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4</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Volvo Research and Education Foundations (VREF)</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4</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Walk 21</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5</w:t>
            </w:r>
          </w:p>
        </w:tc>
        <w:tc>
          <w:tcPr>
            <w:tcW w:w="55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10</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World Bank</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6</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12</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World Business Council on Sustainable Development (WBCSD)</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4</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5</w:t>
            </w:r>
          </w:p>
        </w:tc>
        <w:tc>
          <w:tcPr>
            <w:tcW w:w="55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11</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World Cycling Alliance </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r w:rsidRPr="00157FEE">
              <w:rPr>
                <w:rFonts w:ascii="Arial" w:hAnsi="Arial" w:cs="Arial"/>
              </w:rPr>
              <w:t>2</w:t>
            </w: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5</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World Health Organization</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3</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Wuppertal Institute for Climate, Environment and Energy</w:t>
            </w:r>
          </w:p>
        </w:tc>
        <w:tc>
          <w:tcPr>
            <w:tcW w:w="788"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713" w:type="dxa"/>
            <w:hideMark/>
          </w:tcPr>
          <w:p w:rsidR="00B90A1F" w:rsidRPr="00157FEE" w:rsidRDefault="00B90A1F" w:rsidP="005B5DB9">
            <w:pPr>
              <w:jc w:val="center"/>
              <w:cnfStyle w:val="000000100000"/>
              <w:rPr>
                <w:rFonts w:ascii="Arial" w:hAnsi="Arial" w:cs="Arial"/>
              </w:rPr>
            </w:pPr>
            <w:r w:rsidRPr="00157FEE">
              <w:rPr>
                <w:rFonts w:ascii="Arial" w:hAnsi="Arial" w:cs="Arial"/>
              </w:rPr>
              <w:t>3</w:t>
            </w:r>
          </w:p>
        </w:tc>
        <w:tc>
          <w:tcPr>
            <w:tcW w:w="69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554" w:type="dxa"/>
            <w:hideMark/>
          </w:tcPr>
          <w:p w:rsidR="00B90A1F" w:rsidRPr="00157FEE" w:rsidRDefault="00B90A1F" w:rsidP="005B5DB9">
            <w:pPr>
              <w:jc w:val="center"/>
              <w:cnfStyle w:val="000000100000"/>
              <w:rPr>
                <w:rFonts w:ascii="Arial" w:hAnsi="Arial" w:cs="Arial"/>
              </w:rPr>
            </w:pPr>
            <w:r w:rsidRPr="00157FEE">
              <w:rPr>
                <w:rFonts w:ascii="Arial" w:hAnsi="Arial" w:cs="Arial"/>
              </w:rPr>
              <w:t>1</w:t>
            </w: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6</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WWF International</w:t>
            </w:r>
          </w:p>
        </w:tc>
        <w:tc>
          <w:tcPr>
            <w:tcW w:w="788"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p>
        </w:tc>
        <w:tc>
          <w:tcPr>
            <w:tcW w:w="713" w:type="dxa"/>
            <w:hideMark/>
          </w:tcPr>
          <w:p w:rsidR="00B90A1F" w:rsidRPr="00157FEE" w:rsidRDefault="00B90A1F" w:rsidP="005B5DB9">
            <w:pPr>
              <w:jc w:val="center"/>
              <w:cnfStyle w:val="000000000000"/>
              <w:rPr>
                <w:rFonts w:ascii="Arial" w:hAnsi="Arial" w:cs="Arial"/>
              </w:rPr>
            </w:pPr>
            <w:r w:rsidRPr="00157FEE">
              <w:rPr>
                <w:rFonts w:ascii="Arial" w:hAnsi="Arial" w:cs="Arial"/>
              </w:rPr>
              <w:t>2</w:t>
            </w:r>
          </w:p>
        </w:tc>
        <w:tc>
          <w:tcPr>
            <w:tcW w:w="694" w:type="dxa"/>
            <w:hideMark/>
          </w:tcPr>
          <w:p w:rsidR="00B90A1F" w:rsidRPr="00157FEE" w:rsidRDefault="00B90A1F" w:rsidP="005B5DB9">
            <w:pPr>
              <w:jc w:val="center"/>
              <w:cnfStyle w:val="000000000000"/>
              <w:rPr>
                <w:rFonts w:ascii="Arial" w:hAnsi="Arial" w:cs="Arial"/>
              </w:rPr>
            </w:pPr>
          </w:p>
        </w:tc>
        <w:tc>
          <w:tcPr>
            <w:tcW w:w="554" w:type="dxa"/>
            <w:hideMark/>
          </w:tcPr>
          <w:p w:rsidR="00B90A1F" w:rsidRPr="00157FEE" w:rsidRDefault="00B90A1F" w:rsidP="005B5DB9">
            <w:pPr>
              <w:jc w:val="center"/>
              <w:cnfStyle w:val="000000000000"/>
              <w:rPr>
                <w:rFonts w:ascii="Arial" w:hAnsi="Arial" w:cs="Arial"/>
              </w:rPr>
            </w:pPr>
          </w:p>
        </w:tc>
        <w:tc>
          <w:tcPr>
            <w:tcW w:w="802" w:type="dxa"/>
            <w:hideMark/>
          </w:tcPr>
          <w:p w:rsidR="00B90A1F" w:rsidRPr="00157FEE" w:rsidRDefault="00B90A1F" w:rsidP="005B5DB9">
            <w:pPr>
              <w:jc w:val="center"/>
              <w:cnfStyle w:val="000000000000"/>
              <w:rPr>
                <w:rFonts w:ascii="Arial" w:hAnsi="Arial" w:cs="Arial"/>
              </w:rPr>
            </w:pPr>
          </w:p>
        </w:tc>
        <w:tc>
          <w:tcPr>
            <w:tcW w:w="731" w:type="dxa"/>
            <w:noWrap/>
            <w:hideMark/>
          </w:tcPr>
          <w:p w:rsidR="00B90A1F" w:rsidRPr="00157FEE" w:rsidRDefault="00B90A1F" w:rsidP="005B5DB9">
            <w:pPr>
              <w:jc w:val="center"/>
              <w:cnfStyle w:val="000000000000"/>
              <w:rPr>
                <w:rFonts w:ascii="Arial" w:hAnsi="Arial" w:cs="Arial"/>
                <w:b/>
                <w:bCs/>
              </w:rPr>
            </w:pPr>
            <w:r w:rsidRPr="00157FEE">
              <w:rPr>
                <w:rFonts w:ascii="Arial" w:hAnsi="Arial" w:cs="Arial"/>
                <w:b/>
                <w:bCs/>
              </w:rPr>
              <w:t>2</w:t>
            </w:r>
          </w:p>
        </w:tc>
      </w:tr>
      <w:tr w:rsidR="00B90A1F" w:rsidRPr="00157FEE" w:rsidTr="005B5DB9">
        <w:trPr>
          <w:cnfStyle w:val="000000100000"/>
          <w:trHeight w:val="20"/>
        </w:trPr>
        <w:tc>
          <w:tcPr>
            <w:cnfStyle w:val="001000000000"/>
            <w:tcW w:w="4490" w:type="dxa"/>
            <w:hideMark/>
          </w:tcPr>
          <w:p w:rsidR="00B90A1F" w:rsidRPr="00157FEE" w:rsidRDefault="00B90A1F" w:rsidP="005B5DB9">
            <w:pPr>
              <w:rPr>
                <w:rFonts w:ascii="Arial" w:hAnsi="Arial" w:cs="Arial"/>
                <w:b w:val="0"/>
              </w:rPr>
            </w:pPr>
            <w:r w:rsidRPr="00157FEE">
              <w:rPr>
                <w:rFonts w:ascii="Arial" w:hAnsi="Arial" w:cs="Arial"/>
                <w:b w:val="0"/>
              </w:rPr>
              <w:t>YOURS</w:t>
            </w:r>
          </w:p>
        </w:tc>
        <w:tc>
          <w:tcPr>
            <w:tcW w:w="788" w:type="dxa"/>
            <w:hideMark/>
          </w:tcPr>
          <w:p w:rsidR="00B90A1F" w:rsidRPr="00157FEE" w:rsidRDefault="00B90A1F" w:rsidP="005B5DB9">
            <w:pPr>
              <w:jc w:val="center"/>
              <w:cnfStyle w:val="000000100000"/>
              <w:rPr>
                <w:rFonts w:ascii="Arial" w:hAnsi="Arial" w:cs="Arial"/>
              </w:rPr>
            </w:pPr>
            <w:r w:rsidRPr="00157FEE">
              <w:rPr>
                <w:rFonts w:ascii="Arial" w:hAnsi="Arial" w:cs="Arial"/>
              </w:rPr>
              <w:t>0</w:t>
            </w:r>
          </w:p>
        </w:tc>
        <w:tc>
          <w:tcPr>
            <w:tcW w:w="713" w:type="dxa"/>
            <w:hideMark/>
          </w:tcPr>
          <w:p w:rsidR="00B90A1F" w:rsidRPr="00157FEE" w:rsidRDefault="00B90A1F" w:rsidP="005B5DB9">
            <w:pPr>
              <w:jc w:val="center"/>
              <w:cnfStyle w:val="000000100000"/>
              <w:rPr>
                <w:rFonts w:ascii="Arial" w:hAnsi="Arial" w:cs="Arial"/>
              </w:rPr>
            </w:pPr>
          </w:p>
        </w:tc>
        <w:tc>
          <w:tcPr>
            <w:tcW w:w="713" w:type="dxa"/>
            <w:hideMark/>
          </w:tcPr>
          <w:p w:rsidR="00B90A1F" w:rsidRPr="00157FEE" w:rsidRDefault="00B90A1F" w:rsidP="005B5DB9">
            <w:pPr>
              <w:jc w:val="center"/>
              <w:cnfStyle w:val="000000100000"/>
              <w:rPr>
                <w:rFonts w:ascii="Arial" w:hAnsi="Arial" w:cs="Arial"/>
              </w:rPr>
            </w:pPr>
          </w:p>
        </w:tc>
        <w:tc>
          <w:tcPr>
            <w:tcW w:w="694" w:type="dxa"/>
            <w:hideMark/>
          </w:tcPr>
          <w:p w:rsidR="00B90A1F" w:rsidRPr="00157FEE" w:rsidRDefault="00B90A1F" w:rsidP="005B5DB9">
            <w:pPr>
              <w:jc w:val="center"/>
              <w:cnfStyle w:val="000000100000"/>
              <w:rPr>
                <w:rFonts w:ascii="Arial" w:hAnsi="Arial" w:cs="Arial"/>
              </w:rPr>
            </w:pPr>
          </w:p>
        </w:tc>
        <w:tc>
          <w:tcPr>
            <w:tcW w:w="554" w:type="dxa"/>
            <w:hideMark/>
          </w:tcPr>
          <w:p w:rsidR="00B90A1F" w:rsidRPr="00157FEE" w:rsidRDefault="00B90A1F" w:rsidP="005B5DB9">
            <w:pPr>
              <w:jc w:val="center"/>
              <w:cnfStyle w:val="000000100000"/>
              <w:rPr>
                <w:rFonts w:ascii="Arial" w:hAnsi="Arial" w:cs="Arial"/>
              </w:rPr>
            </w:pPr>
          </w:p>
        </w:tc>
        <w:tc>
          <w:tcPr>
            <w:tcW w:w="802" w:type="dxa"/>
            <w:hideMark/>
          </w:tcPr>
          <w:p w:rsidR="00B90A1F" w:rsidRPr="00157FEE" w:rsidRDefault="00B90A1F" w:rsidP="005B5DB9">
            <w:pPr>
              <w:jc w:val="center"/>
              <w:cnfStyle w:val="000000100000"/>
              <w:rPr>
                <w:rFonts w:ascii="Arial" w:hAnsi="Arial" w:cs="Arial"/>
              </w:rPr>
            </w:pPr>
          </w:p>
        </w:tc>
        <w:tc>
          <w:tcPr>
            <w:tcW w:w="731" w:type="dxa"/>
            <w:noWrap/>
            <w:hideMark/>
          </w:tcPr>
          <w:p w:rsidR="00B90A1F" w:rsidRPr="00157FEE" w:rsidRDefault="00B90A1F" w:rsidP="005B5DB9">
            <w:pPr>
              <w:jc w:val="center"/>
              <w:cnfStyle w:val="000000100000"/>
              <w:rPr>
                <w:rFonts w:ascii="Arial" w:hAnsi="Arial" w:cs="Arial"/>
                <w:b/>
                <w:bCs/>
              </w:rPr>
            </w:pPr>
            <w:r w:rsidRPr="00157FEE">
              <w:rPr>
                <w:rFonts w:ascii="Arial" w:hAnsi="Arial" w:cs="Arial"/>
                <w:b/>
                <w:bCs/>
              </w:rPr>
              <w:t>0</w:t>
            </w:r>
          </w:p>
        </w:tc>
      </w:tr>
      <w:tr w:rsidR="00B90A1F" w:rsidRPr="00157FEE" w:rsidTr="005B5DB9">
        <w:trPr>
          <w:trHeight w:val="20"/>
        </w:trPr>
        <w:tc>
          <w:tcPr>
            <w:cnfStyle w:val="001000000000"/>
            <w:tcW w:w="4490" w:type="dxa"/>
            <w:hideMark/>
          </w:tcPr>
          <w:p w:rsidR="00B90A1F" w:rsidRPr="00157FEE" w:rsidRDefault="00B90A1F" w:rsidP="005B5DB9">
            <w:pPr>
              <w:rPr>
                <w:rFonts w:ascii="Arial" w:hAnsi="Arial" w:cs="Arial"/>
              </w:rPr>
            </w:pPr>
            <w:r w:rsidRPr="00157FEE">
              <w:rPr>
                <w:rFonts w:ascii="Arial" w:hAnsi="Arial" w:cs="Arial"/>
              </w:rPr>
              <w:t>TOTAL</w:t>
            </w:r>
          </w:p>
        </w:tc>
        <w:tc>
          <w:tcPr>
            <w:tcW w:w="788" w:type="dxa"/>
            <w:tcBorders>
              <w:top w:val="single" w:sz="8" w:space="0" w:color="FFFFFF" w:themeColor="background1"/>
              <w:bottom w:val="single" w:sz="8" w:space="0" w:color="FFFFFF" w:themeColor="background1"/>
            </w:tcBorders>
            <w:shd w:val="clear" w:color="auto" w:fill="5B9BD5" w:themeFill="accent1"/>
            <w:hideMark/>
          </w:tcPr>
          <w:p w:rsidR="00B90A1F" w:rsidRPr="00157FEE" w:rsidRDefault="00B90A1F" w:rsidP="005B5DB9">
            <w:pPr>
              <w:jc w:val="center"/>
              <w:cnfStyle w:val="000000000000"/>
              <w:rPr>
                <w:rFonts w:ascii="Arial" w:hAnsi="Arial" w:cs="Arial"/>
                <w:b/>
                <w:bCs/>
                <w:color w:val="FFFFFF" w:themeColor="background1"/>
              </w:rPr>
            </w:pPr>
            <w:r w:rsidRPr="00157FEE">
              <w:rPr>
                <w:rFonts w:ascii="Arial" w:hAnsi="Arial" w:cs="Arial"/>
                <w:b/>
                <w:bCs/>
                <w:color w:val="FFFFFF" w:themeColor="background1"/>
              </w:rPr>
              <w:t>22</w:t>
            </w:r>
          </w:p>
        </w:tc>
        <w:tc>
          <w:tcPr>
            <w:tcW w:w="713" w:type="dxa"/>
            <w:tcBorders>
              <w:top w:val="single" w:sz="8" w:space="0" w:color="FFFFFF" w:themeColor="background1"/>
              <w:bottom w:val="single" w:sz="8" w:space="0" w:color="FFFFFF" w:themeColor="background1"/>
            </w:tcBorders>
            <w:shd w:val="clear" w:color="auto" w:fill="5B9BD5" w:themeFill="accent1"/>
            <w:hideMark/>
          </w:tcPr>
          <w:p w:rsidR="00B90A1F" w:rsidRPr="00157FEE" w:rsidRDefault="00B90A1F" w:rsidP="005B5DB9">
            <w:pPr>
              <w:jc w:val="center"/>
              <w:cnfStyle w:val="000000000000"/>
              <w:rPr>
                <w:rFonts w:ascii="Arial" w:hAnsi="Arial" w:cs="Arial"/>
                <w:b/>
                <w:bCs/>
                <w:color w:val="FFFFFF" w:themeColor="background1"/>
              </w:rPr>
            </w:pPr>
            <w:r w:rsidRPr="00157FEE">
              <w:rPr>
                <w:rFonts w:ascii="Arial" w:hAnsi="Arial" w:cs="Arial"/>
                <w:b/>
                <w:bCs/>
                <w:color w:val="FFFFFF" w:themeColor="background1"/>
              </w:rPr>
              <w:t>42</w:t>
            </w:r>
          </w:p>
        </w:tc>
        <w:tc>
          <w:tcPr>
            <w:tcW w:w="713" w:type="dxa"/>
            <w:tcBorders>
              <w:top w:val="single" w:sz="8" w:space="0" w:color="FFFFFF" w:themeColor="background1"/>
              <w:bottom w:val="single" w:sz="8" w:space="0" w:color="FFFFFF" w:themeColor="background1"/>
            </w:tcBorders>
            <w:shd w:val="clear" w:color="auto" w:fill="5B9BD5" w:themeFill="accent1"/>
            <w:hideMark/>
          </w:tcPr>
          <w:p w:rsidR="00B90A1F" w:rsidRPr="00157FEE" w:rsidRDefault="00B90A1F" w:rsidP="005B5DB9">
            <w:pPr>
              <w:jc w:val="center"/>
              <w:cnfStyle w:val="000000000000"/>
              <w:rPr>
                <w:rFonts w:ascii="Arial" w:hAnsi="Arial" w:cs="Arial"/>
                <w:b/>
                <w:bCs/>
                <w:color w:val="FFFFFF" w:themeColor="background1"/>
              </w:rPr>
            </w:pPr>
            <w:r w:rsidRPr="00157FEE">
              <w:rPr>
                <w:rFonts w:ascii="Arial" w:hAnsi="Arial" w:cs="Arial"/>
                <w:b/>
                <w:bCs/>
                <w:color w:val="FFFFFF" w:themeColor="background1"/>
              </w:rPr>
              <w:t>212</w:t>
            </w:r>
          </w:p>
        </w:tc>
        <w:tc>
          <w:tcPr>
            <w:tcW w:w="694" w:type="dxa"/>
            <w:tcBorders>
              <w:top w:val="single" w:sz="8" w:space="0" w:color="FFFFFF" w:themeColor="background1"/>
              <w:bottom w:val="single" w:sz="8" w:space="0" w:color="FFFFFF" w:themeColor="background1"/>
            </w:tcBorders>
            <w:shd w:val="clear" w:color="auto" w:fill="5B9BD5" w:themeFill="accent1"/>
            <w:hideMark/>
          </w:tcPr>
          <w:p w:rsidR="00B90A1F" w:rsidRPr="00157FEE" w:rsidRDefault="00B90A1F" w:rsidP="005B5DB9">
            <w:pPr>
              <w:jc w:val="center"/>
              <w:cnfStyle w:val="000000000000"/>
              <w:rPr>
                <w:rFonts w:ascii="Arial" w:hAnsi="Arial" w:cs="Arial"/>
                <w:b/>
                <w:bCs/>
                <w:color w:val="FFFFFF" w:themeColor="background1"/>
              </w:rPr>
            </w:pPr>
            <w:r w:rsidRPr="00157FEE">
              <w:rPr>
                <w:rFonts w:ascii="Arial" w:hAnsi="Arial" w:cs="Arial"/>
                <w:b/>
                <w:bCs/>
                <w:color w:val="FFFFFF" w:themeColor="background1"/>
              </w:rPr>
              <w:t>112</w:t>
            </w:r>
          </w:p>
        </w:tc>
        <w:tc>
          <w:tcPr>
            <w:tcW w:w="554" w:type="dxa"/>
            <w:tcBorders>
              <w:top w:val="single" w:sz="8" w:space="0" w:color="FFFFFF" w:themeColor="background1"/>
              <w:bottom w:val="single" w:sz="8" w:space="0" w:color="FFFFFF" w:themeColor="background1"/>
            </w:tcBorders>
            <w:shd w:val="clear" w:color="auto" w:fill="5B9BD5" w:themeFill="accent1"/>
            <w:hideMark/>
          </w:tcPr>
          <w:p w:rsidR="00B90A1F" w:rsidRPr="00157FEE" w:rsidRDefault="00B90A1F" w:rsidP="005B5DB9">
            <w:pPr>
              <w:jc w:val="center"/>
              <w:cnfStyle w:val="000000000000"/>
              <w:rPr>
                <w:rFonts w:ascii="Arial" w:hAnsi="Arial" w:cs="Arial"/>
                <w:b/>
                <w:bCs/>
                <w:color w:val="FFFFFF" w:themeColor="background1"/>
              </w:rPr>
            </w:pPr>
            <w:r w:rsidRPr="00157FEE">
              <w:rPr>
                <w:rFonts w:ascii="Arial" w:hAnsi="Arial" w:cs="Arial"/>
                <w:b/>
                <w:bCs/>
                <w:color w:val="FFFFFF" w:themeColor="background1"/>
              </w:rPr>
              <w:t>16</w:t>
            </w:r>
          </w:p>
        </w:tc>
        <w:tc>
          <w:tcPr>
            <w:tcW w:w="802" w:type="dxa"/>
            <w:tcBorders>
              <w:top w:val="single" w:sz="8" w:space="0" w:color="FFFFFF" w:themeColor="background1"/>
              <w:bottom w:val="single" w:sz="8" w:space="0" w:color="FFFFFF" w:themeColor="background1"/>
            </w:tcBorders>
            <w:shd w:val="clear" w:color="auto" w:fill="5B9BD5" w:themeFill="accent1"/>
            <w:hideMark/>
          </w:tcPr>
          <w:p w:rsidR="00B90A1F" w:rsidRPr="00157FEE" w:rsidRDefault="00B90A1F" w:rsidP="005B5DB9">
            <w:pPr>
              <w:jc w:val="center"/>
              <w:cnfStyle w:val="000000000000"/>
              <w:rPr>
                <w:rFonts w:ascii="Arial" w:hAnsi="Arial" w:cs="Arial"/>
                <w:b/>
                <w:bCs/>
                <w:color w:val="FFFFFF" w:themeColor="background1"/>
              </w:rPr>
            </w:pPr>
            <w:r w:rsidRPr="00157FEE">
              <w:rPr>
                <w:rFonts w:ascii="Arial" w:hAnsi="Arial" w:cs="Arial"/>
                <w:b/>
                <w:bCs/>
                <w:color w:val="FFFFFF" w:themeColor="background1"/>
              </w:rPr>
              <w:t>61</w:t>
            </w:r>
          </w:p>
        </w:tc>
        <w:tc>
          <w:tcPr>
            <w:tcW w:w="731" w:type="dxa"/>
            <w:tcBorders>
              <w:top w:val="single" w:sz="8" w:space="0" w:color="FFFFFF" w:themeColor="background1"/>
              <w:bottom w:val="single" w:sz="8" w:space="0" w:color="FFFFFF" w:themeColor="background1"/>
            </w:tcBorders>
            <w:shd w:val="clear" w:color="auto" w:fill="5B9BD5" w:themeFill="accent1"/>
            <w:noWrap/>
            <w:hideMark/>
          </w:tcPr>
          <w:p w:rsidR="00B90A1F" w:rsidRPr="00157FEE" w:rsidRDefault="00B90A1F" w:rsidP="005B5DB9">
            <w:pPr>
              <w:jc w:val="center"/>
              <w:cnfStyle w:val="000000000000"/>
              <w:rPr>
                <w:rFonts w:ascii="Arial" w:hAnsi="Arial" w:cs="Arial"/>
                <w:b/>
                <w:bCs/>
                <w:color w:val="FFFFFF" w:themeColor="background1"/>
              </w:rPr>
            </w:pPr>
            <w:r w:rsidRPr="00157FEE">
              <w:rPr>
                <w:rFonts w:ascii="Arial" w:hAnsi="Arial" w:cs="Arial"/>
                <w:b/>
                <w:bCs/>
                <w:color w:val="FFFFFF" w:themeColor="background1"/>
              </w:rPr>
              <w:t>465</w:t>
            </w:r>
          </w:p>
        </w:tc>
      </w:tr>
    </w:tbl>
    <w:p w:rsidR="00FC2494" w:rsidRPr="00157FEE" w:rsidRDefault="00B433AF">
      <w:pPr>
        <w:rPr>
          <w:rFonts w:ascii="Arial" w:hAnsi="Arial" w:cs="Arial"/>
        </w:rPr>
      </w:pPr>
    </w:p>
    <w:sectPr w:rsidR="00FC2494" w:rsidRPr="00157FEE" w:rsidSect="00700F4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AF" w:rsidRDefault="00B433AF" w:rsidP="00510C06">
      <w:r>
        <w:separator/>
      </w:r>
    </w:p>
  </w:endnote>
  <w:endnote w:type="continuationSeparator" w:id="0">
    <w:p w:rsidR="00B433AF" w:rsidRDefault="00B433AF" w:rsidP="00510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EE" w:rsidRDefault="00113724" w:rsidP="001A0DD8">
    <w:pPr>
      <w:pStyle w:val="Footer"/>
      <w:framePr w:wrap="none" w:vAnchor="text" w:hAnchor="margin" w:xAlign="right" w:y="1"/>
      <w:rPr>
        <w:rStyle w:val="PageNumber"/>
      </w:rPr>
    </w:pPr>
    <w:r>
      <w:rPr>
        <w:rStyle w:val="PageNumber"/>
      </w:rPr>
      <w:fldChar w:fldCharType="begin"/>
    </w:r>
    <w:r w:rsidR="00157FEE">
      <w:rPr>
        <w:rStyle w:val="PageNumber"/>
      </w:rPr>
      <w:instrText xml:space="preserve">PAGE  </w:instrText>
    </w:r>
    <w:r>
      <w:rPr>
        <w:rStyle w:val="PageNumber"/>
      </w:rPr>
      <w:fldChar w:fldCharType="end"/>
    </w:r>
  </w:p>
  <w:p w:rsidR="00157FEE" w:rsidRDefault="00157FEE" w:rsidP="00157F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EE" w:rsidRDefault="00113724" w:rsidP="001A0DD8">
    <w:pPr>
      <w:pStyle w:val="Footer"/>
      <w:framePr w:wrap="none" w:vAnchor="text" w:hAnchor="margin" w:xAlign="right" w:y="1"/>
      <w:rPr>
        <w:rStyle w:val="PageNumber"/>
      </w:rPr>
    </w:pPr>
    <w:r>
      <w:rPr>
        <w:rStyle w:val="PageNumber"/>
      </w:rPr>
      <w:fldChar w:fldCharType="begin"/>
    </w:r>
    <w:r w:rsidR="00157FEE">
      <w:rPr>
        <w:rStyle w:val="PageNumber"/>
      </w:rPr>
      <w:instrText xml:space="preserve">PAGE  </w:instrText>
    </w:r>
    <w:r>
      <w:rPr>
        <w:rStyle w:val="PageNumber"/>
      </w:rPr>
      <w:fldChar w:fldCharType="separate"/>
    </w:r>
    <w:r w:rsidR="005654FE">
      <w:rPr>
        <w:rStyle w:val="PageNumber"/>
        <w:noProof/>
      </w:rPr>
      <w:t>8</w:t>
    </w:r>
    <w:r>
      <w:rPr>
        <w:rStyle w:val="PageNumber"/>
      </w:rPr>
      <w:fldChar w:fldCharType="end"/>
    </w:r>
  </w:p>
  <w:p w:rsidR="000E5BC9" w:rsidRDefault="00B433AF" w:rsidP="00157FEE">
    <w:pPr>
      <w:spacing w:line="276" w:lineRule="auto"/>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AF" w:rsidRDefault="00B433AF" w:rsidP="00510C06">
      <w:r>
        <w:separator/>
      </w:r>
    </w:p>
  </w:footnote>
  <w:footnote w:type="continuationSeparator" w:id="0">
    <w:p w:rsidR="00B433AF" w:rsidRDefault="00B433AF" w:rsidP="00510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C9" w:rsidRPr="00D12713" w:rsidRDefault="00510C06" w:rsidP="00D31590">
    <w:pPr>
      <w:pStyle w:val="Header"/>
      <w:jc w:val="right"/>
      <w:rPr>
        <w:i/>
      </w:rPr>
    </w:pPr>
    <w:r>
      <w:rPr>
        <w:i/>
      </w:rPr>
      <w:t>SLoCaT 2017 Annual Meeting – Item 3 Membership Engagement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FAF"/>
    <w:multiLevelType w:val="hybridMultilevel"/>
    <w:tmpl w:val="27A2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8065D"/>
    <w:multiLevelType w:val="hybridMultilevel"/>
    <w:tmpl w:val="9C18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64EDC"/>
    <w:multiLevelType w:val="multilevel"/>
    <w:tmpl w:val="2F4E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C258A"/>
    <w:multiLevelType w:val="hybridMultilevel"/>
    <w:tmpl w:val="599AC578"/>
    <w:lvl w:ilvl="0" w:tplc="37B206E0">
      <w:start w:val="1"/>
      <w:numFmt w:val="decimal"/>
      <w:lvlText w:val="%1."/>
      <w:lvlJc w:val="left"/>
      <w:pPr>
        <w:ind w:left="810" w:hanging="360"/>
      </w:pPr>
      <w:rPr>
        <w:rFonts w:hint="default"/>
        <w:b/>
        <w:bCs/>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81670B1"/>
    <w:multiLevelType w:val="hybridMultilevel"/>
    <w:tmpl w:val="21B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86D29"/>
    <w:multiLevelType w:val="hybridMultilevel"/>
    <w:tmpl w:val="3CBC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97D1B"/>
    <w:multiLevelType w:val="hybridMultilevel"/>
    <w:tmpl w:val="93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B33B8"/>
    <w:multiLevelType w:val="hybridMultilevel"/>
    <w:tmpl w:val="BBCC23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56281120"/>
    <w:multiLevelType w:val="hybridMultilevel"/>
    <w:tmpl w:val="6FE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4430B"/>
    <w:multiLevelType w:val="hybridMultilevel"/>
    <w:tmpl w:val="599AC578"/>
    <w:lvl w:ilvl="0" w:tplc="37B206E0">
      <w:start w:val="1"/>
      <w:numFmt w:val="decimal"/>
      <w:lvlText w:val="%1."/>
      <w:lvlJc w:val="left"/>
      <w:pPr>
        <w:ind w:left="810" w:hanging="360"/>
      </w:pPr>
      <w:rPr>
        <w:rFonts w:hint="default"/>
        <w:b/>
        <w:bCs/>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03A4B23"/>
    <w:multiLevelType w:val="hybridMultilevel"/>
    <w:tmpl w:val="A76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95F6D"/>
    <w:multiLevelType w:val="multilevel"/>
    <w:tmpl w:val="550A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2162A6"/>
    <w:multiLevelType w:val="hybridMultilevel"/>
    <w:tmpl w:val="AEB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E1499"/>
    <w:multiLevelType w:val="hybridMultilevel"/>
    <w:tmpl w:val="196E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D49D4"/>
    <w:multiLevelType w:val="hybridMultilevel"/>
    <w:tmpl w:val="FCE0B0BA"/>
    <w:lvl w:ilvl="0" w:tplc="8246539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8"/>
  </w:num>
  <w:num w:numId="5">
    <w:abstractNumId w:val="7"/>
  </w:num>
  <w:num w:numId="6">
    <w:abstractNumId w:val="1"/>
  </w:num>
  <w:num w:numId="7">
    <w:abstractNumId w:val="13"/>
  </w:num>
  <w:num w:numId="8">
    <w:abstractNumId w:val="6"/>
  </w:num>
  <w:num w:numId="9">
    <w:abstractNumId w:val="11"/>
  </w:num>
  <w:num w:numId="10">
    <w:abstractNumId w:val="2"/>
  </w:num>
  <w:num w:numId="11">
    <w:abstractNumId w:val="5"/>
  </w:num>
  <w:num w:numId="12">
    <w:abstractNumId w:val="0"/>
  </w:num>
  <w:num w:numId="13">
    <w:abstractNumId w:val="4"/>
  </w:num>
  <w:num w:numId="14">
    <w:abstractNumId w:val="14"/>
  </w:num>
  <w:num w:numId="15">
    <w:abstractNumId w:val="10"/>
  </w:num>
  <w:num w:numId="16">
    <w:abstractNumId w:val="14"/>
  </w:num>
  <w:num w:numId="17">
    <w:abstractNumId w:val="1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0A1F"/>
    <w:rsid w:val="00113724"/>
    <w:rsid w:val="00157FEE"/>
    <w:rsid w:val="00510C06"/>
    <w:rsid w:val="00512336"/>
    <w:rsid w:val="005654FE"/>
    <w:rsid w:val="00700F42"/>
    <w:rsid w:val="00B20764"/>
    <w:rsid w:val="00B433AF"/>
    <w:rsid w:val="00B90A1F"/>
    <w:rsid w:val="00C02C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1F"/>
    <w:rPr>
      <w:sz w:val="22"/>
      <w:szCs w:val="22"/>
    </w:rPr>
  </w:style>
  <w:style w:type="paragraph" w:styleId="Heading1">
    <w:name w:val="heading 1"/>
    <w:basedOn w:val="Normal"/>
    <w:next w:val="Normal"/>
    <w:link w:val="Heading1Char"/>
    <w:uiPriority w:val="9"/>
    <w:qFormat/>
    <w:rsid w:val="00510C06"/>
    <w:pPr>
      <w:keepNext/>
      <w:keepLines/>
      <w:numPr>
        <w:numId w:val="14"/>
      </w:numPr>
      <w:spacing w:before="480"/>
      <w:outlineLvl w:val="0"/>
    </w:pPr>
    <w:rPr>
      <w:rFonts w:asciiTheme="majorHAnsi" w:eastAsiaTheme="majorEastAsia" w:hAnsiTheme="majorHAnsi" w:cstheme="majorBidi"/>
      <w:b/>
      <w:bCs/>
      <w:noProof/>
      <w:color w:val="2E74B5" w:themeColor="accent1" w:themeShade="BF"/>
      <w:sz w:val="28"/>
      <w:szCs w:val="28"/>
    </w:rPr>
  </w:style>
  <w:style w:type="paragraph" w:styleId="Heading2">
    <w:name w:val="heading 2"/>
    <w:basedOn w:val="Normal"/>
    <w:next w:val="Normal"/>
    <w:link w:val="Heading2Char"/>
    <w:uiPriority w:val="9"/>
    <w:unhideWhenUsed/>
    <w:qFormat/>
    <w:rsid w:val="00B90A1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C06"/>
    <w:rPr>
      <w:rFonts w:asciiTheme="majorHAnsi" w:eastAsiaTheme="majorEastAsia" w:hAnsiTheme="majorHAnsi" w:cstheme="majorBidi"/>
      <w:b/>
      <w:bCs/>
      <w:noProof/>
      <w:color w:val="2E74B5" w:themeColor="accent1" w:themeShade="BF"/>
      <w:sz w:val="28"/>
      <w:szCs w:val="28"/>
    </w:rPr>
  </w:style>
  <w:style w:type="character" w:customStyle="1" w:styleId="Heading2Char">
    <w:name w:val="Heading 2 Char"/>
    <w:basedOn w:val="DefaultParagraphFont"/>
    <w:link w:val="Heading2"/>
    <w:uiPriority w:val="9"/>
    <w:rsid w:val="00B90A1F"/>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B90A1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0A1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B90A1F"/>
    <w:pPr>
      <w:ind w:left="720"/>
      <w:contextualSpacing/>
    </w:pPr>
  </w:style>
  <w:style w:type="paragraph" w:styleId="Header">
    <w:name w:val="header"/>
    <w:basedOn w:val="Normal"/>
    <w:link w:val="HeaderChar"/>
    <w:uiPriority w:val="99"/>
    <w:unhideWhenUsed/>
    <w:rsid w:val="00B90A1F"/>
    <w:pPr>
      <w:tabs>
        <w:tab w:val="center" w:pos="4703"/>
        <w:tab w:val="right" w:pos="9406"/>
      </w:tabs>
    </w:pPr>
  </w:style>
  <w:style w:type="character" w:customStyle="1" w:styleId="HeaderChar">
    <w:name w:val="Header Char"/>
    <w:basedOn w:val="DefaultParagraphFont"/>
    <w:link w:val="Header"/>
    <w:uiPriority w:val="99"/>
    <w:rsid w:val="00B90A1F"/>
    <w:rPr>
      <w:sz w:val="22"/>
      <w:szCs w:val="22"/>
    </w:rPr>
  </w:style>
  <w:style w:type="paragraph" w:styleId="Footer">
    <w:name w:val="footer"/>
    <w:basedOn w:val="Normal"/>
    <w:link w:val="FooterChar"/>
    <w:uiPriority w:val="99"/>
    <w:unhideWhenUsed/>
    <w:rsid w:val="00B90A1F"/>
    <w:pPr>
      <w:tabs>
        <w:tab w:val="center" w:pos="4703"/>
        <w:tab w:val="right" w:pos="9406"/>
      </w:tabs>
    </w:pPr>
  </w:style>
  <w:style w:type="character" w:customStyle="1" w:styleId="FooterChar">
    <w:name w:val="Footer Char"/>
    <w:basedOn w:val="DefaultParagraphFont"/>
    <w:link w:val="Footer"/>
    <w:uiPriority w:val="99"/>
    <w:rsid w:val="00B90A1F"/>
    <w:rPr>
      <w:sz w:val="22"/>
      <w:szCs w:val="22"/>
    </w:rPr>
  </w:style>
  <w:style w:type="table" w:styleId="TableGrid">
    <w:name w:val="Table Grid"/>
    <w:basedOn w:val="TableNormal"/>
    <w:uiPriority w:val="59"/>
    <w:rsid w:val="00B90A1F"/>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90A1F"/>
    <w:rPr>
      <w:sz w:val="16"/>
      <w:szCs w:val="16"/>
    </w:rPr>
  </w:style>
  <w:style w:type="paragraph" w:styleId="CommentText">
    <w:name w:val="annotation text"/>
    <w:basedOn w:val="Normal"/>
    <w:link w:val="CommentTextChar"/>
    <w:uiPriority w:val="99"/>
    <w:semiHidden/>
    <w:unhideWhenUsed/>
    <w:rsid w:val="00B90A1F"/>
    <w:rPr>
      <w:sz w:val="20"/>
      <w:szCs w:val="20"/>
    </w:rPr>
  </w:style>
  <w:style w:type="character" w:customStyle="1" w:styleId="CommentTextChar">
    <w:name w:val="Comment Text Char"/>
    <w:basedOn w:val="DefaultParagraphFont"/>
    <w:link w:val="CommentText"/>
    <w:uiPriority w:val="99"/>
    <w:semiHidden/>
    <w:rsid w:val="00B90A1F"/>
    <w:rPr>
      <w:sz w:val="20"/>
      <w:szCs w:val="20"/>
    </w:rPr>
  </w:style>
  <w:style w:type="paragraph" w:styleId="CommentSubject">
    <w:name w:val="annotation subject"/>
    <w:basedOn w:val="CommentText"/>
    <w:next w:val="CommentText"/>
    <w:link w:val="CommentSubjectChar"/>
    <w:uiPriority w:val="99"/>
    <w:semiHidden/>
    <w:unhideWhenUsed/>
    <w:rsid w:val="00B90A1F"/>
    <w:rPr>
      <w:b/>
      <w:bCs/>
    </w:rPr>
  </w:style>
  <w:style w:type="character" w:customStyle="1" w:styleId="CommentSubjectChar">
    <w:name w:val="Comment Subject Char"/>
    <w:basedOn w:val="CommentTextChar"/>
    <w:link w:val="CommentSubject"/>
    <w:uiPriority w:val="99"/>
    <w:semiHidden/>
    <w:rsid w:val="00B90A1F"/>
    <w:rPr>
      <w:b/>
      <w:bCs/>
      <w:sz w:val="20"/>
      <w:szCs w:val="20"/>
    </w:rPr>
  </w:style>
  <w:style w:type="paragraph" w:styleId="BalloonText">
    <w:name w:val="Balloon Text"/>
    <w:basedOn w:val="Normal"/>
    <w:link w:val="BalloonTextChar"/>
    <w:uiPriority w:val="99"/>
    <w:semiHidden/>
    <w:unhideWhenUsed/>
    <w:rsid w:val="00B90A1F"/>
    <w:rPr>
      <w:rFonts w:ascii="Tahoma" w:hAnsi="Tahoma" w:cs="Tahoma"/>
      <w:sz w:val="16"/>
      <w:szCs w:val="16"/>
    </w:rPr>
  </w:style>
  <w:style w:type="character" w:customStyle="1" w:styleId="BalloonTextChar">
    <w:name w:val="Balloon Text Char"/>
    <w:basedOn w:val="DefaultParagraphFont"/>
    <w:link w:val="BalloonText"/>
    <w:uiPriority w:val="99"/>
    <w:semiHidden/>
    <w:rsid w:val="00B90A1F"/>
    <w:rPr>
      <w:rFonts w:ascii="Tahoma" w:hAnsi="Tahoma" w:cs="Tahoma"/>
      <w:sz w:val="16"/>
      <w:szCs w:val="16"/>
    </w:rPr>
  </w:style>
  <w:style w:type="table" w:customStyle="1" w:styleId="MediumShading2-Accent11">
    <w:name w:val="Medium Shading 2 - Accent 11"/>
    <w:basedOn w:val="TableNormal"/>
    <w:uiPriority w:val="64"/>
    <w:rsid w:val="00B90A1F"/>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B90A1F"/>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1">
    <w:name w:val="Medium Grid 3 Accent 1"/>
    <w:basedOn w:val="TableNormal"/>
    <w:uiPriority w:val="69"/>
    <w:rsid w:val="00B90A1F"/>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Caption">
    <w:name w:val="caption"/>
    <w:basedOn w:val="Normal"/>
    <w:next w:val="Normal"/>
    <w:uiPriority w:val="35"/>
    <w:unhideWhenUsed/>
    <w:qFormat/>
    <w:rsid w:val="00B90A1F"/>
    <w:pPr>
      <w:spacing w:after="200"/>
    </w:pPr>
    <w:rPr>
      <w:b/>
      <w:bCs/>
      <w:color w:val="5B9BD5" w:themeColor="accent1"/>
      <w:sz w:val="18"/>
      <w:szCs w:val="18"/>
    </w:rPr>
  </w:style>
  <w:style w:type="table" w:customStyle="1" w:styleId="LightShading-Accent11">
    <w:name w:val="Light Shading - Accent 11"/>
    <w:basedOn w:val="TableNormal"/>
    <w:uiPriority w:val="60"/>
    <w:rsid w:val="00B90A1F"/>
    <w:rPr>
      <w:color w:val="2E74B5" w:themeColor="accent1" w:themeShade="BF"/>
      <w:sz w:val="22"/>
      <w:szCs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1">
    <w:name w:val="Light Shading Accent 1"/>
    <w:basedOn w:val="TableNormal"/>
    <w:uiPriority w:val="60"/>
    <w:rsid w:val="00B90A1F"/>
    <w:rPr>
      <w:color w:val="2E74B5" w:themeColor="accent1" w:themeShade="BF"/>
      <w:sz w:val="22"/>
      <w:szCs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157FE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Talya\SLOCAT\SLoCaT%20MEMBERSHIP%20DATABASE\Member%20Engagement%20Project\Members%20Engagement%20Matrix-%20with%20numbers-December%2016%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0.16729939291939711"/>
          <c:y val="3.921568627450981E-2"/>
          <c:w val="0.67008254693354219"/>
          <c:h val="0.96078431372549122"/>
        </c:manualLayout>
      </c:layout>
      <c:pie3DChart>
        <c:varyColors val="1"/>
        <c:ser>
          <c:idx val="0"/>
          <c:order val="0"/>
          <c:dLbls>
            <c:dLbl>
              <c:idx val="0"/>
              <c:layout>
                <c:manualLayout>
                  <c:x val="-7.7789264891507018E-2"/>
                  <c:y val="1.1575575111934509E-3"/>
                </c:manualLayout>
              </c:layout>
              <c:tx>
                <c:rich>
                  <a:bodyPr/>
                  <a:lstStyle/>
                  <a:p>
                    <a:r>
                      <a:rPr lang="en-US" sz="900"/>
                      <a:t>22 In-Kind Contributions
5%</a:t>
                    </a:r>
                  </a:p>
                </c:rich>
              </c:tx>
              <c:dLblPos val="bestFit"/>
              <c:showCatName val="1"/>
              <c:showPercent val="1"/>
              <c:extLst>
                <c:ext xmlns:c15="http://schemas.microsoft.com/office/drawing/2012/chart" uri="{CE6537A1-D6FC-4f65-9D91-7224C49458BB}"/>
              </c:extLst>
            </c:dLbl>
            <c:dLbl>
              <c:idx val="1"/>
              <c:layout>
                <c:manualLayout>
                  <c:x val="4.7941566425698995E-2"/>
                  <c:y val="1.1381662398583205E-2"/>
                </c:manualLayout>
              </c:layout>
              <c:tx>
                <c:rich>
                  <a:bodyPr/>
                  <a:lstStyle/>
                  <a:p>
                    <a:r>
                      <a:rPr lang="en-US" sz="900"/>
                      <a:t>42 Financial Contribution
9%</a:t>
                    </a:r>
                  </a:p>
                </c:rich>
              </c:tx>
              <c:dLblPos val="bestFit"/>
              <c:showCatName val="1"/>
              <c:showPercent val="1"/>
              <c:extLst>
                <c:ext xmlns:c15="http://schemas.microsoft.com/office/drawing/2012/chart" uri="{CE6537A1-D6FC-4f65-9D91-7224C49458BB}"/>
              </c:extLst>
            </c:dLbl>
            <c:dLbl>
              <c:idx val="2"/>
              <c:layout>
                <c:manualLayout>
                  <c:x val="0.11413034091625804"/>
                  <c:y val="-0.14843503937007907"/>
                </c:manualLayout>
              </c:layout>
              <c:tx>
                <c:rich>
                  <a:bodyPr/>
                  <a:lstStyle/>
                  <a:p>
                    <a:r>
                      <a:rPr lang="en-US" sz="900"/>
                      <a:t>212 Events Participation
46%</a:t>
                    </a:r>
                  </a:p>
                </c:rich>
              </c:tx>
              <c:dLblPos val="bestFit"/>
              <c:showCatName val="1"/>
              <c:showPercent val="1"/>
              <c:extLst>
                <c:ext xmlns:c15="http://schemas.microsoft.com/office/drawing/2012/chart" uri="{CE6537A1-D6FC-4f65-9D91-7224C49458BB}"/>
              </c:extLst>
            </c:dLbl>
            <c:dLbl>
              <c:idx val="3"/>
              <c:layout>
                <c:manualLayout>
                  <c:x val="1.5335070177226002E-2"/>
                  <c:y val="4.8885608048993924E-2"/>
                </c:manualLayout>
              </c:layout>
              <c:tx>
                <c:rich>
                  <a:bodyPr/>
                  <a:lstStyle/>
                  <a:p>
                    <a:r>
                      <a:rPr lang="en-US" sz="900"/>
                      <a:t>112 Inputs Commenting </a:t>
                    </a:r>
                  </a:p>
                  <a:p>
                    <a:r>
                      <a:rPr lang="en-US" sz="900"/>
                      <a:t>24%</a:t>
                    </a:r>
                  </a:p>
                </c:rich>
              </c:tx>
              <c:dLblPos val="bestFit"/>
              <c:showCatName val="1"/>
              <c:showPercent val="1"/>
              <c:extLst>
                <c:ext xmlns:c15="http://schemas.microsoft.com/office/drawing/2012/chart" uri="{CE6537A1-D6FC-4f65-9D91-7224C49458BB}"/>
              </c:extLst>
            </c:dLbl>
            <c:dLbl>
              <c:idx val="4"/>
              <c:layout>
                <c:manualLayout>
                  <c:x val="-7.855497229512981E-2"/>
                  <c:y val="0.16128946537284505"/>
                </c:manualLayout>
              </c:layout>
              <c:tx>
                <c:rich>
                  <a:bodyPr/>
                  <a:lstStyle/>
                  <a:p>
                    <a:r>
                      <a:rPr lang="en-US" sz="900"/>
                      <a:t>16 interactions on Governance 
3%</a:t>
                    </a:r>
                  </a:p>
                </c:rich>
              </c:tx>
              <c:dLblPos val="bestFit"/>
              <c:showCatName val="1"/>
              <c:showPercent val="1"/>
              <c:extLst>
                <c:ext xmlns:c15="http://schemas.microsoft.com/office/drawing/2012/chart" uri="{CE6537A1-D6FC-4f65-9D91-7224C49458BB}"/>
              </c:extLst>
            </c:dLbl>
            <c:dLbl>
              <c:idx val="5"/>
              <c:layout>
                <c:manualLayout>
                  <c:x val="-0.12994396533766606"/>
                  <c:y val="1.6397120484420804E-3"/>
                </c:manualLayout>
              </c:layout>
              <c:tx>
                <c:rich>
                  <a:bodyPr/>
                  <a:lstStyle/>
                  <a:p>
                    <a:r>
                      <a:rPr lang="en-US" sz="900"/>
                      <a:t>61 Outreach Support
13%</a:t>
                    </a:r>
                  </a:p>
                </c:rich>
              </c:tx>
              <c:dLblPos val="bestFit"/>
              <c:showCatName val="1"/>
              <c:showPercent val="1"/>
              <c:extLst>
                <c:ext xmlns:c15="http://schemas.microsoft.com/office/drawing/2012/chart" uri="{CE6537A1-D6FC-4f65-9D91-7224C49458BB}"/>
              </c:extLst>
            </c:dLbl>
            <c:spPr>
              <a:noFill/>
              <a:ln>
                <a:noFill/>
              </a:ln>
              <a:effectLst/>
            </c:spPr>
            <c:txPr>
              <a:bodyPr/>
              <a:lstStyle/>
              <a:p>
                <a:pPr>
                  <a:defRPr sz="900"/>
                </a:pPr>
                <a:endParaRPr lang="en-US"/>
              </a:p>
            </c:txPr>
            <c:dLblPos val="bestFit"/>
            <c:showCatName val="1"/>
            <c:showPercent val="1"/>
            <c:showLeaderLines val="1"/>
            <c:extLst>
              <c:ext xmlns:c15="http://schemas.microsoft.com/office/drawing/2012/chart" uri="{CE6537A1-D6FC-4f65-9D91-7224C49458BB}"/>
            </c:extLst>
          </c:dLbls>
          <c:cat>
            <c:strRef>
              <c:f>Sheet2!$A$97:$F$97</c:f>
              <c:strCache>
                <c:ptCount val="6"/>
                <c:pt idx="0">
                  <c:v>In-Kind Contribution</c:v>
                </c:pt>
                <c:pt idx="1">
                  <c:v>Financial Contribution*</c:v>
                </c:pt>
                <c:pt idx="2">
                  <c:v>Events Participation</c:v>
                </c:pt>
                <c:pt idx="3">
                  <c:v>Commenting</c:v>
                </c:pt>
                <c:pt idx="4">
                  <c:v>Governance </c:v>
                </c:pt>
                <c:pt idx="5">
                  <c:v>Outreach Support</c:v>
                </c:pt>
              </c:strCache>
            </c:strRef>
          </c:cat>
          <c:val>
            <c:numRef>
              <c:f>Sheet2!$A$98:$F$98</c:f>
              <c:numCache>
                <c:formatCode>General</c:formatCode>
                <c:ptCount val="6"/>
                <c:pt idx="0">
                  <c:v>22</c:v>
                </c:pt>
                <c:pt idx="1">
                  <c:v>42</c:v>
                </c:pt>
                <c:pt idx="2">
                  <c:v>212</c:v>
                </c:pt>
                <c:pt idx="3">
                  <c:v>112</c:v>
                </c:pt>
                <c:pt idx="4">
                  <c:v>16</c:v>
                </c:pt>
                <c:pt idx="5">
                  <c:v>61</c:v>
                </c:pt>
              </c:numCache>
            </c:numRef>
          </c:val>
        </c:ser>
      </c:pie3DChart>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2554</Words>
  <Characters>14561</Characters>
  <Application>Microsoft Office Word</Application>
  <DocSecurity>0</DocSecurity>
  <Lines>121</Lines>
  <Paragraphs>34</Paragraphs>
  <ScaleCrop>false</ScaleCrop>
  <Company>Partnership on Sustainable, Low Carbon Transport (S</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Cornie Huizenga</dc:creator>
  <cp:lastModifiedBy>Talya Enriquez</cp:lastModifiedBy>
  <cp:revision>2</cp:revision>
  <dcterms:created xsi:type="dcterms:W3CDTF">2016-12-23T02:58:00Z</dcterms:created>
  <dcterms:modified xsi:type="dcterms:W3CDTF">2016-12-23T02:58:00Z</dcterms:modified>
</cp:coreProperties>
</file>